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6E" w:rsidRDefault="00214C3E" w:rsidP="00214C3E">
      <w:pPr>
        <w:pStyle w:val="Heading1a"/>
        <w:keepNext w:val="0"/>
        <w:keepLines w:val="0"/>
        <w:tabs>
          <w:tab w:val="clear" w:pos="-720"/>
        </w:tabs>
        <w:suppressAutoHyphens w:val="0"/>
        <w:spacing w:after="120"/>
        <w:rPr>
          <w:bCs/>
          <w:smallCaps w:val="0"/>
          <w:sz w:val="40"/>
          <w:szCs w:val="24"/>
        </w:rPr>
      </w:pPr>
      <w:bookmarkStart w:id="0" w:name="_GoBack"/>
      <w:bookmarkEnd w:id="0"/>
      <w:r w:rsidRPr="003F011E">
        <w:rPr>
          <w:bCs/>
          <w:smallCaps w:val="0"/>
          <w:sz w:val="40"/>
          <w:szCs w:val="24"/>
        </w:rPr>
        <w:t xml:space="preserve">Invitation for Bids </w:t>
      </w:r>
    </w:p>
    <w:p w:rsidR="00214C3E" w:rsidRPr="003F011E" w:rsidRDefault="0055736E" w:rsidP="00214C3E">
      <w:pPr>
        <w:pStyle w:val="Heading1a"/>
        <w:keepNext w:val="0"/>
        <w:keepLines w:val="0"/>
        <w:tabs>
          <w:tab w:val="clear" w:pos="-720"/>
        </w:tabs>
        <w:suppressAutoHyphens w:val="0"/>
        <w:spacing w:after="120"/>
        <w:rPr>
          <w:bCs/>
          <w:smallCaps w:val="0"/>
          <w:sz w:val="40"/>
          <w:szCs w:val="24"/>
        </w:rPr>
      </w:pPr>
      <w:r>
        <w:rPr>
          <w:bCs/>
          <w:smallCaps w:val="0"/>
          <w:sz w:val="40"/>
          <w:szCs w:val="24"/>
        </w:rPr>
        <w:t xml:space="preserve">No </w:t>
      </w:r>
      <w:r w:rsidRPr="0055736E">
        <w:rPr>
          <w:bCs/>
          <w:smallCaps w:val="0"/>
          <w:sz w:val="40"/>
          <w:szCs w:val="24"/>
        </w:rPr>
        <w:t>VIN-I</w:t>
      </w:r>
      <w:r>
        <w:rPr>
          <w:bCs/>
          <w:smallCaps w:val="0"/>
          <w:sz w:val="40"/>
          <w:szCs w:val="24"/>
        </w:rPr>
        <w:t>F</w:t>
      </w:r>
      <w:r w:rsidRPr="0055736E">
        <w:rPr>
          <w:bCs/>
          <w:smallCaps w:val="0"/>
          <w:sz w:val="40"/>
          <w:szCs w:val="24"/>
        </w:rPr>
        <w:t>B-03-1</w:t>
      </w:r>
    </w:p>
    <w:p w:rsidR="00214C3E" w:rsidRPr="003F011E" w:rsidRDefault="00214C3E" w:rsidP="00214C3E">
      <w:pPr>
        <w:suppressAutoHyphens/>
        <w:jc w:val="center"/>
        <w:rPr>
          <w:spacing w:val="-2"/>
          <w:szCs w:val="24"/>
          <w:u w:val="single"/>
        </w:rPr>
      </w:pPr>
      <w:smartTag w:uri="urn:schemas-microsoft-com:office:smarttags" w:element="country-region">
        <w:smartTag w:uri="urn:schemas-microsoft-com:office:smarttags" w:element="place">
          <w:r w:rsidRPr="003F011E">
            <w:rPr>
              <w:spacing w:val="-2"/>
              <w:szCs w:val="24"/>
              <w:u w:val="single"/>
            </w:rPr>
            <w:t>Ukraine</w:t>
          </w:r>
        </w:smartTag>
      </w:smartTag>
    </w:p>
    <w:p w:rsidR="00214C3E" w:rsidRDefault="00214C3E" w:rsidP="00214C3E">
      <w:pPr>
        <w:suppressAutoHyphens/>
        <w:jc w:val="center"/>
        <w:rPr>
          <w:szCs w:val="24"/>
          <w:u w:val="single"/>
        </w:rPr>
      </w:pPr>
      <w:r w:rsidRPr="00214C3E">
        <w:rPr>
          <w:szCs w:val="24"/>
          <w:u w:val="single"/>
        </w:rPr>
        <w:t>Second Urban Infrastructure Project (UIP2)</w:t>
      </w:r>
    </w:p>
    <w:p w:rsidR="008C021B" w:rsidRPr="00214C3E" w:rsidRDefault="00214C3E" w:rsidP="00214C3E">
      <w:pPr>
        <w:suppressAutoHyphens/>
        <w:jc w:val="center"/>
        <w:rPr>
          <w:b/>
          <w:bCs/>
          <w:spacing w:val="-2"/>
          <w:szCs w:val="24"/>
        </w:rPr>
      </w:pPr>
      <w:r w:rsidRPr="003F011E">
        <w:rPr>
          <w:u w:val="single"/>
        </w:rPr>
        <w:t>Loan No.</w:t>
      </w:r>
      <w:r w:rsidRPr="00214C3E">
        <w:rPr>
          <w:u w:val="single"/>
        </w:rPr>
        <w:t>8391-UA and TF017112</w:t>
      </w:r>
    </w:p>
    <w:p w:rsidR="00EA49A9" w:rsidRDefault="00EA49A9" w:rsidP="00EA49A9"/>
    <w:p w:rsidR="00214C3E" w:rsidRPr="003F011E" w:rsidRDefault="00214C3E" w:rsidP="006624C5">
      <w:pPr>
        <w:pStyle w:val="a6"/>
        <w:spacing w:after="120"/>
        <w:rPr>
          <w:b/>
          <w:bCs/>
        </w:rPr>
      </w:pPr>
      <w:r w:rsidRPr="003F011E">
        <w:rPr>
          <w:b/>
          <w:bCs/>
        </w:rPr>
        <w:t xml:space="preserve">Contract Title: </w:t>
      </w:r>
      <w:r w:rsidRPr="00214C3E">
        <w:rPr>
          <w:color w:val="00000A"/>
          <w:u w:val="single"/>
        </w:rPr>
        <w:t xml:space="preserve">Reconstruction of Main Water Supply Network in Vinnitsa city (from </w:t>
      </w:r>
      <w:proofErr w:type="spellStart"/>
      <w:r w:rsidRPr="00214C3E">
        <w:rPr>
          <w:color w:val="00000A"/>
          <w:u w:val="single"/>
        </w:rPr>
        <w:t>Pyrogova</w:t>
      </w:r>
      <w:proofErr w:type="spellEnd"/>
      <w:r w:rsidRPr="00214C3E">
        <w:rPr>
          <w:color w:val="00000A"/>
          <w:u w:val="single"/>
        </w:rPr>
        <w:t xml:space="preserve"> Str. to </w:t>
      </w:r>
      <w:proofErr w:type="spellStart"/>
      <w:r w:rsidRPr="00214C3E">
        <w:rPr>
          <w:color w:val="00000A"/>
          <w:u w:val="single"/>
        </w:rPr>
        <w:t>Lebedynskogo</w:t>
      </w:r>
      <w:proofErr w:type="spellEnd"/>
      <w:r w:rsidRPr="00214C3E">
        <w:rPr>
          <w:color w:val="00000A"/>
          <w:u w:val="single"/>
        </w:rPr>
        <w:t xml:space="preserve"> Str.)</w:t>
      </w:r>
    </w:p>
    <w:p w:rsidR="00214C3E" w:rsidRPr="003F011E" w:rsidRDefault="00214C3E" w:rsidP="006624C5">
      <w:pPr>
        <w:suppressAutoHyphens/>
        <w:spacing w:after="120"/>
        <w:rPr>
          <w:spacing w:val="-2"/>
          <w:szCs w:val="24"/>
        </w:rPr>
      </w:pPr>
      <w:r w:rsidRPr="003F011E">
        <w:rPr>
          <w:b/>
          <w:bCs/>
          <w:spacing w:val="-2"/>
          <w:szCs w:val="24"/>
        </w:rPr>
        <w:t>Reference No</w:t>
      </w:r>
      <w:r w:rsidR="006624C5">
        <w:rPr>
          <w:b/>
          <w:bCs/>
          <w:spacing w:val="-2"/>
          <w:szCs w:val="24"/>
        </w:rPr>
        <w:t xml:space="preserve">. </w:t>
      </w:r>
      <w:r w:rsidR="006624C5" w:rsidRPr="006624C5">
        <w:rPr>
          <w:bCs/>
          <w:spacing w:val="-2"/>
          <w:szCs w:val="24"/>
        </w:rPr>
        <w:t>(as per Procurement Plan)</w:t>
      </w:r>
      <w:r w:rsidR="000A508E">
        <w:rPr>
          <w:bCs/>
          <w:spacing w:val="-2"/>
          <w:szCs w:val="24"/>
        </w:rPr>
        <w:t>:</w:t>
      </w:r>
      <w:r w:rsidRPr="003F011E">
        <w:rPr>
          <w:spacing w:val="-2"/>
          <w:szCs w:val="24"/>
        </w:rPr>
        <w:t xml:space="preserve"> </w:t>
      </w:r>
      <w:r w:rsidRPr="00214C3E">
        <w:rPr>
          <w:szCs w:val="24"/>
          <w:u w:val="single"/>
        </w:rPr>
        <w:t>VIN-ICB-03-1</w:t>
      </w:r>
    </w:p>
    <w:p w:rsidR="00214C3E" w:rsidRPr="003F011E" w:rsidRDefault="00214C3E" w:rsidP="00214C3E">
      <w:pPr>
        <w:suppressAutoHyphens/>
        <w:spacing w:after="120"/>
        <w:rPr>
          <w:spacing w:val="-2"/>
          <w:szCs w:val="24"/>
        </w:rPr>
      </w:pPr>
    </w:p>
    <w:p w:rsidR="00214C3E" w:rsidRPr="003F011E" w:rsidRDefault="00214C3E" w:rsidP="00214C3E">
      <w:pPr>
        <w:suppressAutoHyphens/>
        <w:spacing w:after="120"/>
        <w:rPr>
          <w:spacing w:val="-2"/>
          <w:szCs w:val="24"/>
        </w:rPr>
      </w:pPr>
      <w:r w:rsidRPr="003F011E">
        <w:rPr>
          <w:spacing w:val="-2"/>
          <w:szCs w:val="24"/>
        </w:rPr>
        <w:t>1.</w:t>
      </w:r>
      <w:r w:rsidRPr="003F011E">
        <w:rPr>
          <w:spacing w:val="-2"/>
          <w:szCs w:val="24"/>
        </w:rPr>
        <w:tab/>
        <w:t xml:space="preserve">This Invitation for Bids </w:t>
      </w:r>
      <w:r>
        <w:rPr>
          <w:spacing w:val="-2"/>
          <w:szCs w:val="24"/>
        </w:rPr>
        <w:t xml:space="preserve">(IFB) </w:t>
      </w:r>
      <w:r w:rsidRPr="003F011E">
        <w:rPr>
          <w:spacing w:val="-2"/>
          <w:szCs w:val="24"/>
        </w:rPr>
        <w:t xml:space="preserve">follows </w:t>
      </w:r>
      <w:r w:rsidRPr="003F011E">
        <w:rPr>
          <w:szCs w:val="24"/>
        </w:rPr>
        <w:t xml:space="preserve">the General Procurement Notice (GPN) for this Project that appeared in </w:t>
      </w:r>
      <w:r w:rsidRPr="003F011E">
        <w:rPr>
          <w:iCs/>
          <w:szCs w:val="24"/>
        </w:rPr>
        <w:t>UN Development Business</w:t>
      </w:r>
      <w:r>
        <w:rPr>
          <w:szCs w:val="24"/>
        </w:rPr>
        <w:t xml:space="preserve"> </w:t>
      </w:r>
      <w:r w:rsidRPr="00214C3E">
        <w:rPr>
          <w:szCs w:val="24"/>
        </w:rPr>
        <w:t>issue of August 5, 2014</w:t>
      </w:r>
      <w:r w:rsidRPr="003F011E">
        <w:rPr>
          <w:szCs w:val="24"/>
        </w:rPr>
        <w:t>.</w:t>
      </w:r>
    </w:p>
    <w:p w:rsidR="00FA54E8" w:rsidRPr="001F1AED" w:rsidRDefault="00214C3E" w:rsidP="00FA54E8">
      <w:pPr>
        <w:tabs>
          <w:tab w:val="left" w:pos="-720"/>
        </w:tabs>
        <w:suppressAutoHyphens/>
        <w:spacing w:after="200"/>
        <w:rPr>
          <w:spacing w:val="-3"/>
        </w:rPr>
      </w:pPr>
      <w:r>
        <w:rPr>
          <w:spacing w:val="-3"/>
        </w:rPr>
        <w:t>2</w:t>
      </w:r>
      <w:r w:rsidR="00FA54E8" w:rsidRPr="001F1AED">
        <w:rPr>
          <w:spacing w:val="-3"/>
        </w:rPr>
        <w:t>.</w:t>
      </w:r>
      <w:r w:rsidR="00FA54E8" w:rsidRPr="001F1AED">
        <w:rPr>
          <w:spacing w:val="-3"/>
        </w:rPr>
        <w:tab/>
      </w:r>
      <w:r w:rsidR="00FA54E8" w:rsidRPr="00FA54E8">
        <w:rPr>
          <w:spacing w:val="-3"/>
        </w:rPr>
        <w:t>Ukraine</w:t>
      </w:r>
      <w:r>
        <w:rPr>
          <w:spacing w:val="-3"/>
        </w:rPr>
        <w:t xml:space="preserve"> has received financing </w:t>
      </w:r>
      <w:r w:rsidR="00FA54E8" w:rsidRPr="001F1AED">
        <w:rPr>
          <w:spacing w:val="-3"/>
        </w:rPr>
        <w:t xml:space="preserve">from the International Bank for Reconstruction and Development (IBRD) </w:t>
      </w:r>
      <w:r w:rsidR="00C66CAD">
        <w:rPr>
          <w:spacing w:val="-3"/>
        </w:rPr>
        <w:t>toward</w:t>
      </w:r>
      <w:r w:rsidR="00FA54E8" w:rsidRPr="001F1AED">
        <w:rPr>
          <w:spacing w:val="-3"/>
        </w:rPr>
        <w:t xml:space="preserve"> the cost of </w:t>
      </w:r>
      <w:r w:rsidR="00C66CAD">
        <w:rPr>
          <w:spacing w:val="-3"/>
        </w:rPr>
        <w:t xml:space="preserve">the </w:t>
      </w:r>
      <w:r w:rsidR="00FA54E8" w:rsidRPr="00FA54E8">
        <w:rPr>
          <w:spacing w:val="-3"/>
        </w:rPr>
        <w:t>Second</w:t>
      </w:r>
      <w:r w:rsidR="00FA54E8">
        <w:rPr>
          <w:spacing w:val="-3"/>
        </w:rPr>
        <w:t xml:space="preserve"> </w:t>
      </w:r>
      <w:r w:rsidR="00FA54E8" w:rsidRPr="00FA54E8">
        <w:rPr>
          <w:spacing w:val="-3"/>
        </w:rPr>
        <w:t>Urban Infrastructure Project (UIP2</w:t>
      </w:r>
      <w:r w:rsidR="00FA54E8">
        <w:rPr>
          <w:spacing w:val="-3"/>
        </w:rPr>
        <w:t>)</w:t>
      </w:r>
      <w:r w:rsidR="00C66CAD">
        <w:rPr>
          <w:spacing w:val="-3"/>
        </w:rPr>
        <w:t xml:space="preserve">, and intends to apply part </w:t>
      </w:r>
      <w:r w:rsidR="00FA54E8" w:rsidRPr="001F1AED">
        <w:rPr>
          <w:spacing w:val="-3"/>
        </w:rPr>
        <w:t xml:space="preserve">of the proceeds of </w:t>
      </w:r>
      <w:r w:rsidR="00C66CAD">
        <w:rPr>
          <w:spacing w:val="-3"/>
        </w:rPr>
        <w:t>that</w:t>
      </w:r>
      <w:r w:rsidR="00FA54E8" w:rsidRPr="001F1AED">
        <w:rPr>
          <w:spacing w:val="-3"/>
        </w:rPr>
        <w:t xml:space="preserve"> loan </w:t>
      </w:r>
      <w:r w:rsidR="00C66CAD">
        <w:rPr>
          <w:spacing w:val="-3"/>
        </w:rPr>
        <w:t xml:space="preserve">for </w:t>
      </w:r>
      <w:r w:rsidR="00FA54E8" w:rsidRPr="001F1AED">
        <w:rPr>
          <w:spacing w:val="-3"/>
        </w:rPr>
        <w:t>eligible payments under contract</w:t>
      </w:r>
      <w:r w:rsidR="00C66CAD">
        <w:rPr>
          <w:spacing w:val="-3"/>
        </w:rPr>
        <w:t xml:space="preserve"> </w:t>
      </w:r>
      <w:r w:rsidR="004D56A7">
        <w:rPr>
          <w:spacing w:val="-3"/>
        </w:rPr>
        <w:t xml:space="preserve">ref. </w:t>
      </w:r>
      <w:r w:rsidR="00C66CAD" w:rsidRPr="00C66CAD">
        <w:rPr>
          <w:spacing w:val="-3"/>
        </w:rPr>
        <w:t xml:space="preserve">VIN-ICB-03-1 </w:t>
      </w:r>
      <w:r w:rsidR="00C66CAD">
        <w:rPr>
          <w:spacing w:val="-3"/>
        </w:rPr>
        <w:t xml:space="preserve">for </w:t>
      </w:r>
      <w:r w:rsidR="004D56A7" w:rsidRPr="001F1AED">
        <w:rPr>
          <w:spacing w:val="-3"/>
        </w:rPr>
        <w:t>Reconstruction</w:t>
      </w:r>
      <w:r w:rsidR="004D56A7" w:rsidRPr="00C66CAD">
        <w:rPr>
          <w:spacing w:val="-3"/>
        </w:rPr>
        <w:t xml:space="preserve"> </w:t>
      </w:r>
      <w:r w:rsidR="00C66CAD" w:rsidRPr="00C66CAD">
        <w:rPr>
          <w:spacing w:val="-3"/>
        </w:rPr>
        <w:t xml:space="preserve">of </w:t>
      </w:r>
      <w:r w:rsidR="004D56A7" w:rsidRPr="00C66CAD">
        <w:rPr>
          <w:spacing w:val="-3"/>
        </w:rPr>
        <w:t xml:space="preserve">Main Water Supply Network </w:t>
      </w:r>
      <w:r w:rsidR="00C66CAD" w:rsidRPr="00C66CAD">
        <w:rPr>
          <w:spacing w:val="-3"/>
        </w:rPr>
        <w:t xml:space="preserve">in Vinnitsa city (from </w:t>
      </w:r>
      <w:proofErr w:type="spellStart"/>
      <w:r w:rsidR="00C66CAD" w:rsidRPr="00C66CAD">
        <w:rPr>
          <w:spacing w:val="-3"/>
        </w:rPr>
        <w:t>Pyrogova</w:t>
      </w:r>
      <w:proofErr w:type="spellEnd"/>
      <w:r w:rsidR="00C66CAD" w:rsidRPr="00C66CAD">
        <w:rPr>
          <w:spacing w:val="-3"/>
        </w:rPr>
        <w:t xml:space="preserve"> Str. to </w:t>
      </w:r>
      <w:proofErr w:type="spellStart"/>
      <w:r w:rsidR="00C66CAD" w:rsidRPr="00C66CAD">
        <w:rPr>
          <w:spacing w:val="-3"/>
        </w:rPr>
        <w:t>Lebedynskogo</w:t>
      </w:r>
      <w:proofErr w:type="spellEnd"/>
      <w:r w:rsidR="00C66CAD" w:rsidRPr="00C66CAD">
        <w:rPr>
          <w:spacing w:val="-3"/>
        </w:rPr>
        <w:t xml:space="preserve"> Str.)</w:t>
      </w:r>
      <w:r w:rsidR="00FA54E8">
        <w:rPr>
          <w:spacing w:val="-3"/>
        </w:rPr>
        <w:t>.</w:t>
      </w:r>
    </w:p>
    <w:p w:rsidR="0019429A" w:rsidRDefault="00214C3E" w:rsidP="00FA54E8">
      <w:pPr>
        <w:tabs>
          <w:tab w:val="left" w:pos="-720"/>
        </w:tabs>
        <w:suppressAutoHyphens/>
        <w:spacing w:after="200"/>
        <w:rPr>
          <w:spacing w:val="-3"/>
        </w:rPr>
      </w:pPr>
      <w:r w:rsidRPr="0019429A">
        <w:rPr>
          <w:spacing w:val="-3"/>
        </w:rPr>
        <w:t>3</w:t>
      </w:r>
      <w:r w:rsidR="00FA54E8" w:rsidRPr="0019429A">
        <w:rPr>
          <w:spacing w:val="-3"/>
        </w:rPr>
        <w:t>.</w:t>
      </w:r>
      <w:r w:rsidR="007D1FB1" w:rsidRPr="0019429A">
        <w:rPr>
          <w:spacing w:val="-3"/>
        </w:rPr>
        <w:tab/>
      </w:r>
      <w:r w:rsidR="00FA54E8" w:rsidRPr="0019429A">
        <w:rPr>
          <w:spacing w:val="-3"/>
        </w:rPr>
        <w:t>Utility</w:t>
      </w:r>
      <w:r w:rsidR="00FA54E8" w:rsidRPr="00FA54E8">
        <w:rPr>
          <w:spacing w:val="-3"/>
        </w:rPr>
        <w:t xml:space="preserve"> Company “</w:t>
      </w:r>
      <w:proofErr w:type="spellStart"/>
      <w:r w:rsidR="00FA54E8" w:rsidRPr="00FA54E8">
        <w:rPr>
          <w:spacing w:val="-3"/>
        </w:rPr>
        <w:t>Vinnytsiaoblvodokanal</w:t>
      </w:r>
      <w:proofErr w:type="spellEnd"/>
      <w:r w:rsidR="00FA54E8" w:rsidRPr="00FA54E8">
        <w:rPr>
          <w:spacing w:val="-3"/>
        </w:rPr>
        <w:t xml:space="preserve">” </w:t>
      </w:r>
      <w:r w:rsidR="00FA54E8" w:rsidRPr="001F1AED">
        <w:rPr>
          <w:spacing w:val="-3"/>
        </w:rPr>
        <w:t xml:space="preserve">now invites sealed bids from eligible bidders for the </w:t>
      </w:r>
      <w:r w:rsidR="0019429A">
        <w:rPr>
          <w:spacing w:val="-3"/>
        </w:rPr>
        <w:t xml:space="preserve">works consisting of (1) </w:t>
      </w:r>
      <w:r w:rsidR="0019429A" w:rsidRPr="0019429A">
        <w:rPr>
          <w:spacing w:val="-3"/>
        </w:rPr>
        <w:t xml:space="preserve">replacement of existing water main in the central part of Vinnitsa by new polyethylene pipes (D= 400-630 mm, total length – </w:t>
      </w:r>
      <w:proofErr w:type="spellStart"/>
      <w:r w:rsidR="0019429A" w:rsidRPr="0019429A">
        <w:rPr>
          <w:spacing w:val="-3"/>
        </w:rPr>
        <w:t>aprx</w:t>
      </w:r>
      <w:proofErr w:type="spellEnd"/>
      <w:r w:rsidR="0019429A" w:rsidRPr="0019429A">
        <w:rPr>
          <w:spacing w:val="-3"/>
        </w:rPr>
        <w:t xml:space="preserve">. 9,7 km) including 1 river crossing (inverted syphon) under </w:t>
      </w:r>
      <w:proofErr w:type="spellStart"/>
      <w:r w:rsidR="0019429A" w:rsidRPr="0019429A">
        <w:rPr>
          <w:spacing w:val="-3"/>
        </w:rPr>
        <w:t>Pivdennyi</w:t>
      </w:r>
      <w:proofErr w:type="spellEnd"/>
      <w:r w:rsidR="0019429A" w:rsidRPr="0019429A">
        <w:rPr>
          <w:spacing w:val="-3"/>
        </w:rPr>
        <w:t xml:space="preserve"> Buh (South Buh) river with 2 pipelines Ø400 mm; 1 river crossing (inverted syphon) with 2 pipelines Ø630 mm through pond along </w:t>
      </w:r>
      <w:proofErr w:type="spellStart"/>
      <w:r w:rsidR="0019429A" w:rsidRPr="0019429A">
        <w:rPr>
          <w:spacing w:val="-3"/>
        </w:rPr>
        <w:t>Turchianovycha</w:t>
      </w:r>
      <w:proofErr w:type="spellEnd"/>
      <w:r w:rsidR="0019429A" w:rsidRPr="0019429A">
        <w:rPr>
          <w:spacing w:val="-3"/>
        </w:rPr>
        <w:t xml:space="preserve"> street;</w:t>
      </w:r>
      <w:r w:rsidR="0019429A">
        <w:rPr>
          <w:spacing w:val="-3"/>
        </w:rPr>
        <w:t xml:space="preserve"> (2) </w:t>
      </w:r>
      <w:r w:rsidR="0019429A" w:rsidRPr="0019429A">
        <w:rPr>
          <w:spacing w:val="-3"/>
        </w:rPr>
        <w:t xml:space="preserve">arrangement of new branch collectors for reconnection of existing consumers by new polyethylene and steel pipes (D32 – D300, total length – </w:t>
      </w:r>
      <w:proofErr w:type="spellStart"/>
      <w:r w:rsidR="0019429A" w:rsidRPr="0019429A">
        <w:rPr>
          <w:spacing w:val="-3"/>
        </w:rPr>
        <w:t>aprx</w:t>
      </w:r>
      <w:proofErr w:type="spellEnd"/>
      <w:r w:rsidR="0019429A" w:rsidRPr="0019429A">
        <w:rPr>
          <w:spacing w:val="-3"/>
        </w:rPr>
        <w:t>. 2,3 km);</w:t>
      </w:r>
      <w:r w:rsidR="0019429A">
        <w:rPr>
          <w:spacing w:val="-3"/>
        </w:rPr>
        <w:t xml:space="preserve"> and (3) </w:t>
      </w:r>
      <w:r w:rsidR="0019429A" w:rsidRPr="0019429A">
        <w:rPr>
          <w:spacing w:val="-3"/>
        </w:rPr>
        <w:t>arrangement of new precast reinforced concrete manholes (~26 pcs) and chambers (~22 pcs) with installat</w:t>
      </w:r>
      <w:r w:rsidR="0019429A">
        <w:rPr>
          <w:spacing w:val="-3"/>
        </w:rPr>
        <w:t xml:space="preserve">ion of valves and appurtenances. </w:t>
      </w:r>
      <w:r w:rsidR="0019429A" w:rsidRPr="0019429A">
        <w:rPr>
          <w:spacing w:val="-3"/>
        </w:rPr>
        <w:t xml:space="preserve">The intended construction period for the whole of the works shall be </w:t>
      </w:r>
      <w:r w:rsidR="0019429A">
        <w:rPr>
          <w:spacing w:val="-3"/>
        </w:rPr>
        <w:t>thirteen (13</w:t>
      </w:r>
      <w:r w:rsidR="0019429A" w:rsidRPr="0019429A">
        <w:rPr>
          <w:spacing w:val="-3"/>
        </w:rPr>
        <w:t>) month</w:t>
      </w:r>
      <w:r w:rsidR="00B12C8B">
        <w:rPr>
          <w:spacing w:val="-3"/>
        </w:rPr>
        <w:t>s</w:t>
      </w:r>
      <w:r w:rsidR="0019429A">
        <w:rPr>
          <w:spacing w:val="-3"/>
        </w:rPr>
        <w:t xml:space="preserve"> from the Start Date</w:t>
      </w:r>
      <w:r w:rsidR="002E0659">
        <w:rPr>
          <w:spacing w:val="-3"/>
        </w:rPr>
        <w:t xml:space="preserve"> (currently</w:t>
      </w:r>
      <w:r w:rsidR="0019429A">
        <w:rPr>
          <w:spacing w:val="-3"/>
        </w:rPr>
        <w:t xml:space="preserve"> expected in March, 2020</w:t>
      </w:r>
      <w:r w:rsidR="002E0659">
        <w:rPr>
          <w:spacing w:val="-3"/>
        </w:rPr>
        <w:t>)</w:t>
      </w:r>
      <w:r w:rsidR="0019429A">
        <w:rPr>
          <w:spacing w:val="-3"/>
        </w:rPr>
        <w:t>.</w:t>
      </w:r>
    </w:p>
    <w:p w:rsidR="002A6B55" w:rsidRDefault="00E80993" w:rsidP="00FA54E8">
      <w:pPr>
        <w:tabs>
          <w:tab w:val="left" w:pos="-720"/>
        </w:tabs>
        <w:suppressAutoHyphens/>
        <w:spacing w:after="200"/>
        <w:rPr>
          <w:spacing w:val="-3"/>
        </w:rPr>
      </w:pPr>
      <w:r w:rsidRPr="00E80993">
        <w:rPr>
          <w:spacing w:val="-3"/>
        </w:rPr>
        <w:t>Qualification requirements for Bidders, including</w:t>
      </w:r>
      <w:r>
        <w:rPr>
          <w:spacing w:val="-3"/>
        </w:rPr>
        <w:t xml:space="preserve"> </w:t>
      </w:r>
      <w:r w:rsidRPr="00E80993">
        <w:rPr>
          <w:spacing w:val="-3"/>
        </w:rPr>
        <w:t>members of joint ventures</w:t>
      </w:r>
      <w:r w:rsidR="007E0164">
        <w:rPr>
          <w:spacing w:val="-3"/>
        </w:rPr>
        <w:t xml:space="preserve"> are as follows</w:t>
      </w:r>
      <w:r w:rsidRPr="00E80993">
        <w:rPr>
          <w:spacing w:val="-3"/>
        </w:rPr>
        <w:t>:</w:t>
      </w:r>
    </w:p>
    <w:p w:rsidR="001913DC" w:rsidRPr="004F1C20" w:rsidRDefault="001913DC" w:rsidP="00D27A02">
      <w:pPr>
        <w:pStyle w:val="11"/>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14" w:hanging="357"/>
        <w:contextualSpacing w:val="0"/>
        <w:jc w:val="both"/>
        <w:rPr>
          <w:rFonts w:ascii="Times New Roman" w:hAnsi="Times New Roman"/>
          <w:spacing w:val="-2"/>
          <w:sz w:val="24"/>
          <w:szCs w:val="24"/>
          <w:lang w:val="en-US"/>
        </w:rPr>
      </w:pPr>
      <w:r w:rsidRPr="001913DC">
        <w:rPr>
          <w:rFonts w:ascii="Times New Roman" w:hAnsi="Times New Roman"/>
          <w:b/>
          <w:sz w:val="24"/>
          <w:szCs w:val="24"/>
          <w:lang w:val="en-US"/>
        </w:rPr>
        <w:t>History of Non-Performing Contracts</w:t>
      </w:r>
      <w:r>
        <w:rPr>
          <w:rFonts w:ascii="Times New Roman" w:hAnsi="Times New Roman"/>
          <w:sz w:val="24"/>
          <w:szCs w:val="24"/>
          <w:lang w:val="en-US"/>
        </w:rPr>
        <w:t xml:space="preserve">: </w:t>
      </w:r>
      <w:r w:rsidR="00D27A02">
        <w:rPr>
          <w:rFonts w:ascii="Times New Roman" w:hAnsi="Times New Roman"/>
          <w:sz w:val="24"/>
          <w:szCs w:val="24"/>
          <w:lang w:val="en-US"/>
        </w:rPr>
        <w:t>N</w:t>
      </w:r>
      <w:r w:rsidR="00D27A02" w:rsidRPr="003F011E">
        <w:rPr>
          <w:rFonts w:ascii="Times New Roman" w:hAnsi="Times New Roman"/>
          <w:sz w:val="24"/>
          <w:szCs w:val="24"/>
          <w:lang w:val="en-US"/>
        </w:rPr>
        <w:t xml:space="preserve">o </w:t>
      </w:r>
      <w:r w:rsidRPr="003F011E">
        <w:rPr>
          <w:rFonts w:ascii="Times New Roman" w:hAnsi="Times New Roman"/>
          <w:sz w:val="24"/>
          <w:szCs w:val="24"/>
          <w:lang w:val="en-US"/>
        </w:rPr>
        <w:t xml:space="preserve">history of non-performance </w:t>
      </w:r>
      <w:r>
        <w:rPr>
          <w:rFonts w:ascii="Times New Roman" w:hAnsi="Times New Roman"/>
          <w:sz w:val="24"/>
          <w:szCs w:val="24"/>
          <w:lang w:val="en-US"/>
        </w:rPr>
        <w:t>of a contract</w:t>
      </w:r>
      <w:r w:rsidR="006B785B">
        <w:rPr>
          <w:rFonts w:ascii="Times New Roman" w:hAnsi="Times New Roman"/>
          <w:sz w:val="24"/>
          <w:szCs w:val="24"/>
          <w:lang w:val="en-US"/>
        </w:rPr>
        <w:t xml:space="preserve"> </w:t>
      </w:r>
      <w:r>
        <w:rPr>
          <w:rFonts w:ascii="Times New Roman" w:hAnsi="Times New Roman"/>
          <w:sz w:val="24"/>
          <w:szCs w:val="24"/>
          <w:lang w:val="en-US"/>
        </w:rPr>
        <w:t xml:space="preserve">as </w:t>
      </w:r>
      <w:r w:rsidRPr="003F011E">
        <w:rPr>
          <w:rFonts w:ascii="Times New Roman" w:hAnsi="Times New Roman"/>
          <w:sz w:val="24"/>
          <w:szCs w:val="24"/>
          <w:lang w:val="en-US"/>
        </w:rPr>
        <w:t xml:space="preserve">a result of contractor default since </w:t>
      </w:r>
      <w:r w:rsidR="00D27A02" w:rsidRPr="004F1C20">
        <w:rPr>
          <w:rFonts w:ascii="Times New Roman" w:hAnsi="Times New Roman"/>
          <w:sz w:val="24"/>
          <w:szCs w:val="24"/>
          <w:lang w:val="en-US"/>
        </w:rPr>
        <w:t>1</w:t>
      </w:r>
      <w:r w:rsidR="00D27A02" w:rsidRPr="004F1C20">
        <w:rPr>
          <w:rFonts w:ascii="Times New Roman" w:hAnsi="Times New Roman"/>
          <w:sz w:val="24"/>
          <w:szCs w:val="24"/>
          <w:vertAlign w:val="superscript"/>
          <w:lang w:val="en-US"/>
        </w:rPr>
        <w:t>st</w:t>
      </w:r>
      <w:r w:rsidR="00D27A02" w:rsidRPr="004F1C20">
        <w:rPr>
          <w:rFonts w:ascii="Times New Roman" w:hAnsi="Times New Roman"/>
          <w:sz w:val="24"/>
          <w:szCs w:val="24"/>
          <w:lang w:val="en-US"/>
        </w:rPr>
        <w:t xml:space="preserve"> of Ja</w:t>
      </w:r>
      <w:r w:rsidRPr="004F1C20">
        <w:rPr>
          <w:rFonts w:ascii="Times New Roman" w:hAnsi="Times New Roman"/>
          <w:sz w:val="24"/>
          <w:szCs w:val="24"/>
          <w:lang w:val="en-US"/>
        </w:rPr>
        <w:t>nuary 2014</w:t>
      </w:r>
      <w:r w:rsidR="0037737F" w:rsidRPr="004F1C20">
        <w:rPr>
          <w:rFonts w:ascii="Times New Roman" w:hAnsi="Times New Roman"/>
          <w:sz w:val="24"/>
          <w:szCs w:val="24"/>
          <w:lang w:val="en-US"/>
        </w:rPr>
        <w:t>.</w:t>
      </w:r>
    </w:p>
    <w:p w:rsidR="001913DC" w:rsidRPr="003F011E" w:rsidRDefault="001913DC" w:rsidP="00D27A02">
      <w:pPr>
        <w:pStyle w:val="11"/>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14" w:hanging="357"/>
        <w:contextualSpacing w:val="0"/>
        <w:jc w:val="both"/>
        <w:rPr>
          <w:rFonts w:ascii="Times New Roman" w:hAnsi="Times New Roman"/>
          <w:spacing w:val="-2"/>
          <w:sz w:val="24"/>
          <w:szCs w:val="24"/>
          <w:lang w:val="en-US"/>
        </w:rPr>
      </w:pPr>
      <w:r w:rsidRPr="00D27A02">
        <w:rPr>
          <w:rFonts w:ascii="Times New Roman" w:hAnsi="Times New Roman"/>
          <w:b/>
          <w:sz w:val="24"/>
          <w:szCs w:val="24"/>
          <w:lang w:val="en-US"/>
        </w:rPr>
        <w:t>Litigation History</w:t>
      </w:r>
      <w:r>
        <w:rPr>
          <w:rFonts w:ascii="Times New Roman" w:hAnsi="Times New Roman"/>
          <w:sz w:val="24"/>
          <w:szCs w:val="24"/>
          <w:lang w:val="en-US"/>
        </w:rPr>
        <w:t xml:space="preserve">: </w:t>
      </w:r>
      <w:r w:rsidR="00D27A02">
        <w:rPr>
          <w:rFonts w:ascii="Times New Roman" w:hAnsi="Times New Roman"/>
          <w:sz w:val="24"/>
          <w:szCs w:val="24"/>
          <w:lang w:val="en-US"/>
        </w:rPr>
        <w:t>N</w:t>
      </w:r>
      <w:r w:rsidR="00D27A02" w:rsidRPr="003F011E">
        <w:rPr>
          <w:rFonts w:ascii="Times New Roman" w:hAnsi="Times New Roman"/>
          <w:sz w:val="24"/>
          <w:szCs w:val="24"/>
          <w:lang w:val="en-US"/>
        </w:rPr>
        <w:t xml:space="preserve">o </w:t>
      </w:r>
      <w:r w:rsidRPr="003F011E">
        <w:rPr>
          <w:rFonts w:ascii="Times New Roman" w:hAnsi="Times New Roman"/>
          <w:sz w:val="24"/>
          <w:szCs w:val="24"/>
          <w:lang w:val="en-US"/>
        </w:rPr>
        <w:t>consistent history of court/arbitral award decisions against the Bidder</w:t>
      </w:r>
      <w:r w:rsidR="00524DB0">
        <w:rPr>
          <w:szCs w:val="24"/>
          <w:lang w:val="en-US"/>
        </w:rPr>
        <w:t xml:space="preserve"> </w:t>
      </w:r>
      <w:r w:rsidRPr="003F011E">
        <w:rPr>
          <w:rFonts w:ascii="Times New Roman" w:hAnsi="Times New Roman"/>
          <w:sz w:val="24"/>
          <w:szCs w:val="24"/>
          <w:lang w:val="en-US"/>
        </w:rPr>
        <w:t xml:space="preserve">since </w:t>
      </w:r>
      <w:r w:rsidRPr="004F1C20">
        <w:rPr>
          <w:rFonts w:ascii="Times New Roman" w:hAnsi="Times New Roman"/>
          <w:sz w:val="24"/>
          <w:szCs w:val="24"/>
          <w:lang w:val="en-US"/>
        </w:rPr>
        <w:t>1</w:t>
      </w:r>
      <w:r w:rsidRPr="004F1C20">
        <w:rPr>
          <w:rFonts w:ascii="Times New Roman" w:hAnsi="Times New Roman"/>
          <w:sz w:val="24"/>
          <w:szCs w:val="24"/>
          <w:vertAlign w:val="superscript"/>
          <w:lang w:val="en-US"/>
        </w:rPr>
        <w:t>st</w:t>
      </w:r>
      <w:r w:rsidR="00D27A02" w:rsidRPr="004F1C20">
        <w:rPr>
          <w:rFonts w:ascii="Times New Roman" w:hAnsi="Times New Roman"/>
          <w:sz w:val="24"/>
          <w:szCs w:val="24"/>
          <w:lang w:val="en-US"/>
        </w:rPr>
        <w:t xml:space="preserve"> of</w:t>
      </w:r>
      <w:r w:rsidRPr="004F1C20">
        <w:rPr>
          <w:rFonts w:ascii="Times New Roman" w:hAnsi="Times New Roman"/>
          <w:sz w:val="24"/>
          <w:szCs w:val="24"/>
          <w:lang w:val="en-US"/>
        </w:rPr>
        <w:t xml:space="preserve"> January 2014</w:t>
      </w:r>
      <w:r w:rsidR="0037737F" w:rsidRPr="004F1C20">
        <w:rPr>
          <w:rFonts w:ascii="Times New Roman" w:hAnsi="Times New Roman"/>
          <w:sz w:val="24"/>
          <w:szCs w:val="24"/>
          <w:lang w:val="en-US"/>
        </w:rPr>
        <w:t>.</w:t>
      </w:r>
    </w:p>
    <w:p w:rsidR="001913DC" w:rsidRDefault="00D27A02" w:rsidP="00D27A02">
      <w:pPr>
        <w:pStyle w:val="a8"/>
        <w:numPr>
          <w:ilvl w:val="0"/>
          <w:numId w:val="1"/>
        </w:numPr>
        <w:tabs>
          <w:tab w:val="left" w:pos="-720"/>
        </w:tabs>
        <w:suppressAutoHyphens/>
        <w:spacing w:after="120"/>
        <w:ind w:left="714" w:hanging="357"/>
        <w:contextualSpacing w:val="0"/>
        <w:rPr>
          <w:spacing w:val="-3"/>
        </w:rPr>
      </w:pPr>
      <w:r w:rsidRPr="00D27A02">
        <w:rPr>
          <w:b/>
          <w:spacing w:val="-3"/>
        </w:rPr>
        <w:t>Financial Capabilities</w:t>
      </w:r>
      <w:r>
        <w:rPr>
          <w:spacing w:val="-3"/>
        </w:rPr>
        <w:t xml:space="preserve">: </w:t>
      </w:r>
      <w:r w:rsidRPr="00D27A02">
        <w:rPr>
          <w:spacing w:val="-3"/>
        </w:rPr>
        <w:t>The Bidder shall demonstrate that it has access to, or has available, liquid assets, unencumbered real assets, lines of credit, and other financial means (independent of any contractual advance payment) sufficient to meet the construction cash flow r</w:t>
      </w:r>
      <w:r w:rsidR="006B785B">
        <w:rPr>
          <w:spacing w:val="-3"/>
        </w:rPr>
        <w:t>equirements estimated as USD $1 </w:t>
      </w:r>
      <w:r w:rsidRPr="00D27A02">
        <w:rPr>
          <w:spacing w:val="-3"/>
        </w:rPr>
        <w:t>2</w:t>
      </w:r>
      <w:r w:rsidR="006B785B">
        <w:rPr>
          <w:spacing w:val="-3"/>
        </w:rPr>
        <w:t>00 000</w:t>
      </w:r>
      <w:r w:rsidRPr="00D27A02">
        <w:rPr>
          <w:spacing w:val="-3"/>
        </w:rPr>
        <w:t xml:space="preserve"> (one million two hundred thousand US dollars) for the subject contract net of the Bidders other commitments</w:t>
      </w:r>
      <w:r w:rsidR="0037737F">
        <w:rPr>
          <w:spacing w:val="-3"/>
        </w:rPr>
        <w:t>.</w:t>
      </w:r>
    </w:p>
    <w:p w:rsidR="006B785B" w:rsidRDefault="006B785B" w:rsidP="006B785B">
      <w:pPr>
        <w:pStyle w:val="a8"/>
        <w:tabs>
          <w:tab w:val="left" w:pos="-720"/>
        </w:tabs>
        <w:suppressAutoHyphens/>
        <w:spacing w:after="120"/>
        <w:ind w:left="714"/>
        <w:contextualSpacing w:val="0"/>
        <w:rPr>
          <w:spacing w:val="-3"/>
        </w:rPr>
      </w:pPr>
      <w:r w:rsidRPr="006B785B">
        <w:rPr>
          <w:spacing w:val="-3"/>
        </w:rPr>
        <w:t>The Bidders shall also demonstrate, to the satisfaction of the Employer, that it has adequate sources of finance to meet the cash flow requirements on works currently in progress and for future contract commitments</w:t>
      </w:r>
      <w:r>
        <w:rPr>
          <w:spacing w:val="-3"/>
        </w:rPr>
        <w:t>.</w:t>
      </w:r>
    </w:p>
    <w:p w:rsidR="006B785B" w:rsidRPr="006B785B" w:rsidRDefault="006B785B" w:rsidP="006B785B">
      <w:pPr>
        <w:pStyle w:val="a8"/>
        <w:tabs>
          <w:tab w:val="left" w:pos="-720"/>
        </w:tabs>
        <w:suppressAutoHyphens/>
        <w:spacing w:after="120"/>
        <w:ind w:left="714"/>
        <w:contextualSpacing w:val="0"/>
        <w:rPr>
          <w:spacing w:val="-3"/>
        </w:rPr>
      </w:pPr>
      <w:r w:rsidRPr="006B785B">
        <w:rPr>
          <w:spacing w:val="-3"/>
        </w:rPr>
        <w:t>The audited balance sheets or, if not required by the laws of the Bidder’s country, other financial statements acceptable to the Employer, for the last 5 (five) years shall be submitted and must demonstrate the current soundness of the Bidder’s financial position and indicate its prospective long-term profitability</w:t>
      </w:r>
      <w:r>
        <w:rPr>
          <w:spacing w:val="-3"/>
        </w:rPr>
        <w:t>.</w:t>
      </w:r>
    </w:p>
    <w:p w:rsidR="00E80993" w:rsidRDefault="00DF4E93" w:rsidP="00D27A02">
      <w:pPr>
        <w:pStyle w:val="a8"/>
        <w:numPr>
          <w:ilvl w:val="0"/>
          <w:numId w:val="1"/>
        </w:numPr>
        <w:tabs>
          <w:tab w:val="left" w:pos="-720"/>
        </w:tabs>
        <w:suppressAutoHyphens/>
        <w:spacing w:after="200"/>
        <w:rPr>
          <w:spacing w:val="-3"/>
        </w:rPr>
      </w:pPr>
      <w:r>
        <w:rPr>
          <w:b/>
          <w:spacing w:val="-3"/>
        </w:rPr>
        <w:t xml:space="preserve">Average Annual </w:t>
      </w:r>
      <w:r w:rsidR="00D27A02">
        <w:rPr>
          <w:b/>
          <w:spacing w:val="-3"/>
        </w:rPr>
        <w:t xml:space="preserve">Construction </w:t>
      </w:r>
      <w:r>
        <w:rPr>
          <w:b/>
          <w:spacing w:val="-3"/>
        </w:rPr>
        <w:t xml:space="preserve">Turnover: </w:t>
      </w:r>
      <w:r w:rsidR="00D27A02" w:rsidRPr="00D27A02">
        <w:rPr>
          <w:spacing w:val="-3"/>
        </w:rPr>
        <w:t xml:space="preserve">Minimum average annual </w:t>
      </w:r>
      <w:r w:rsidR="00D27A02">
        <w:rPr>
          <w:spacing w:val="-3"/>
        </w:rPr>
        <w:t>construction turnover of</w:t>
      </w:r>
      <w:r w:rsidR="00500F48">
        <w:rPr>
          <w:spacing w:val="-3"/>
        </w:rPr>
        <w:t xml:space="preserve"> </w:t>
      </w:r>
      <w:r w:rsidR="00D27A02">
        <w:rPr>
          <w:spacing w:val="-3"/>
        </w:rPr>
        <w:t xml:space="preserve"> US$</w:t>
      </w:r>
      <w:r w:rsidR="00500F48">
        <w:rPr>
          <w:spacing w:val="-3"/>
        </w:rPr>
        <w:t xml:space="preserve"> </w:t>
      </w:r>
      <w:r w:rsidR="00D27A02">
        <w:rPr>
          <w:spacing w:val="-3"/>
        </w:rPr>
        <w:t xml:space="preserve">7 500 000 </w:t>
      </w:r>
      <w:r w:rsidR="00D27A02" w:rsidRPr="00D27A02">
        <w:rPr>
          <w:spacing w:val="-3"/>
        </w:rPr>
        <w:t xml:space="preserve">(seven million five hundred thousand US dollars), calculated as total certified </w:t>
      </w:r>
      <w:r w:rsidR="00D27A02" w:rsidRPr="00D27A02">
        <w:rPr>
          <w:spacing w:val="-3"/>
        </w:rPr>
        <w:lastRenderedPageBreak/>
        <w:t>payments received for contracts in progress and/or completed within the last 5 (five) years starting 1st</w:t>
      </w:r>
      <w:r w:rsidR="0037737F">
        <w:rPr>
          <w:spacing w:val="-3"/>
        </w:rPr>
        <w:t xml:space="preserve"> </w:t>
      </w:r>
      <w:r w:rsidR="00D27A02" w:rsidRPr="00D27A02">
        <w:rPr>
          <w:spacing w:val="-3"/>
        </w:rPr>
        <w:t>of January 2014 to December 31, 2018, divided by 5 (five) years</w:t>
      </w:r>
      <w:r w:rsidR="00E80993" w:rsidRPr="00E80993">
        <w:rPr>
          <w:spacing w:val="-3"/>
        </w:rPr>
        <w:t>.</w:t>
      </w:r>
    </w:p>
    <w:p w:rsidR="00DF4E93" w:rsidRDefault="00E80993" w:rsidP="00F20C4D">
      <w:pPr>
        <w:pStyle w:val="a8"/>
        <w:numPr>
          <w:ilvl w:val="0"/>
          <w:numId w:val="1"/>
        </w:numPr>
        <w:tabs>
          <w:tab w:val="left" w:pos="-720"/>
        </w:tabs>
        <w:suppressAutoHyphens/>
        <w:spacing w:after="120"/>
        <w:contextualSpacing w:val="0"/>
        <w:rPr>
          <w:spacing w:val="-3"/>
        </w:rPr>
      </w:pPr>
      <w:r w:rsidRPr="00DF4E93">
        <w:rPr>
          <w:b/>
          <w:spacing w:val="-3"/>
        </w:rPr>
        <w:t xml:space="preserve">General </w:t>
      </w:r>
      <w:r w:rsidR="00F20C4D">
        <w:rPr>
          <w:b/>
          <w:spacing w:val="-3"/>
        </w:rPr>
        <w:t>Construction E</w:t>
      </w:r>
      <w:r w:rsidRPr="00DF4E93">
        <w:rPr>
          <w:b/>
          <w:spacing w:val="-3"/>
        </w:rPr>
        <w:t>xperience</w:t>
      </w:r>
      <w:r w:rsidR="00DF4E93" w:rsidRPr="00DF4E93">
        <w:rPr>
          <w:b/>
          <w:spacing w:val="-3"/>
        </w:rPr>
        <w:t xml:space="preserve">: </w:t>
      </w:r>
      <w:r w:rsidR="00F20C4D" w:rsidRPr="00F20C4D">
        <w:rPr>
          <w:spacing w:val="-3"/>
        </w:rPr>
        <w:t>Experience under construction contracts in the role of prime contractor, JV member, sub-contractor, or management contractor for at least the last 5 (five) years, starting 1st January 2014</w:t>
      </w:r>
      <w:r w:rsidRPr="00DF4E93">
        <w:rPr>
          <w:spacing w:val="-3"/>
        </w:rPr>
        <w:t>.</w:t>
      </w:r>
    </w:p>
    <w:p w:rsidR="00DF4E93" w:rsidRPr="00311AB3" w:rsidRDefault="00F20C4D" w:rsidP="00F20C4D">
      <w:pPr>
        <w:pStyle w:val="a8"/>
        <w:numPr>
          <w:ilvl w:val="0"/>
          <w:numId w:val="1"/>
        </w:numPr>
        <w:tabs>
          <w:tab w:val="left" w:pos="-720"/>
        </w:tabs>
        <w:suppressAutoHyphens/>
        <w:spacing w:after="120"/>
        <w:contextualSpacing w:val="0"/>
        <w:rPr>
          <w:spacing w:val="-3"/>
        </w:rPr>
      </w:pPr>
      <w:r w:rsidRPr="00F20C4D">
        <w:rPr>
          <w:b/>
          <w:spacing w:val="-3"/>
        </w:rPr>
        <w:t>Specific Construction &amp; Contract Management Experience</w:t>
      </w:r>
      <w:r w:rsidR="00DF4E93" w:rsidRPr="00DF4E93">
        <w:rPr>
          <w:b/>
          <w:spacing w:val="-3"/>
        </w:rPr>
        <w:t xml:space="preserve">: </w:t>
      </w:r>
    </w:p>
    <w:p w:rsidR="00DF4E93" w:rsidRDefault="00F20C4D" w:rsidP="00F20C4D">
      <w:pPr>
        <w:pStyle w:val="a8"/>
        <w:numPr>
          <w:ilvl w:val="0"/>
          <w:numId w:val="3"/>
        </w:numPr>
        <w:tabs>
          <w:tab w:val="left" w:pos="-720"/>
        </w:tabs>
        <w:suppressAutoHyphens/>
        <w:spacing w:after="120"/>
        <w:contextualSpacing w:val="0"/>
        <w:rPr>
          <w:spacing w:val="-3"/>
        </w:rPr>
      </w:pPr>
      <w:r w:rsidRPr="00F20C4D">
        <w:rPr>
          <w:spacing w:val="-3"/>
        </w:rPr>
        <w:t>A minimum number of similar contracts specified below that have been satisfactorily and substantially completed as a prime contractor, joint venture member, management contractor or sub-contractor12 between 1</w:t>
      </w:r>
      <w:r w:rsidRPr="00F20C4D">
        <w:rPr>
          <w:spacing w:val="-3"/>
          <w:vertAlign w:val="superscript"/>
        </w:rPr>
        <w:t>st</w:t>
      </w:r>
      <w:r>
        <w:rPr>
          <w:spacing w:val="-3"/>
        </w:rPr>
        <w:t xml:space="preserve"> of</w:t>
      </w:r>
      <w:r w:rsidRPr="00F20C4D">
        <w:rPr>
          <w:spacing w:val="-3"/>
        </w:rPr>
        <w:t xml:space="preserve"> January 2014 and application submission deadline</w:t>
      </w:r>
      <w:r w:rsidR="00DF4E93" w:rsidRPr="00DF4E93">
        <w:rPr>
          <w:spacing w:val="-3"/>
        </w:rPr>
        <w:t>:</w:t>
      </w:r>
      <w:r w:rsidR="00DF4E93">
        <w:rPr>
          <w:spacing w:val="-3"/>
        </w:rPr>
        <w:t xml:space="preserve"> </w:t>
      </w:r>
    </w:p>
    <w:p w:rsidR="00F20C4D" w:rsidRDefault="00F20C4D" w:rsidP="00F20C4D">
      <w:pPr>
        <w:pStyle w:val="a8"/>
        <w:numPr>
          <w:ilvl w:val="0"/>
          <w:numId w:val="2"/>
        </w:numPr>
        <w:tabs>
          <w:tab w:val="left" w:pos="-720"/>
        </w:tabs>
        <w:suppressAutoHyphens/>
        <w:spacing w:after="120"/>
        <w:contextualSpacing w:val="0"/>
        <w:rPr>
          <w:spacing w:val="-3"/>
        </w:rPr>
      </w:pPr>
      <w:r w:rsidRPr="00F20C4D">
        <w:rPr>
          <w:spacing w:val="-3"/>
        </w:rPr>
        <w:t>1 (one)</w:t>
      </w:r>
      <w:r w:rsidR="009530F8">
        <w:rPr>
          <w:spacing w:val="-3"/>
        </w:rPr>
        <w:t xml:space="preserve"> contract of minimum value US$</w:t>
      </w:r>
      <w:r w:rsidR="00500F48">
        <w:rPr>
          <w:spacing w:val="-3"/>
        </w:rPr>
        <w:t xml:space="preserve"> </w:t>
      </w:r>
      <w:r w:rsidR="009530F8">
        <w:rPr>
          <w:spacing w:val="-3"/>
        </w:rPr>
        <w:t>4 </w:t>
      </w:r>
      <w:r w:rsidRPr="00F20C4D">
        <w:rPr>
          <w:spacing w:val="-3"/>
        </w:rPr>
        <w:t>0</w:t>
      </w:r>
      <w:r w:rsidR="009530F8">
        <w:rPr>
          <w:spacing w:val="-3"/>
        </w:rPr>
        <w:t>00 000</w:t>
      </w:r>
      <w:r>
        <w:rPr>
          <w:spacing w:val="-3"/>
        </w:rPr>
        <w:t xml:space="preserve"> (four million US dollars); </w:t>
      </w:r>
    </w:p>
    <w:p w:rsidR="00F20C4D" w:rsidRPr="00F20C4D" w:rsidRDefault="00F20C4D" w:rsidP="00F20C4D">
      <w:pPr>
        <w:pStyle w:val="a8"/>
        <w:tabs>
          <w:tab w:val="left" w:pos="-720"/>
        </w:tabs>
        <w:suppressAutoHyphens/>
        <w:spacing w:after="120"/>
        <w:ind w:left="1776"/>
        <w:contextualSpacing w:val="0"/>
        <w:rPr>
          <w:spacing w:val="-3"/>
        </w:rPr>
      </w:pPr>
      <w:r>
        <w:rPr>
          <w:spacing w:val="-3"/>
        </w:rPr>
        <w:t>OR</w:t>
      </w:r>
    </w:p>
    <w:p w:rsidR="00DF4E93" w:rsidRDefault="00F20C4D" w:rsidP="00F20C4D">
      <w:pPr>
        <w:pStyle w:val="a8"/>
        <w:numPr>
          <w:ilvl w:val="0"/>
          <w:numId w:val="2"/>
        </w:numPr>
        <w:tabs>
          <w:tab w:val="left" w:pos="-720"/>
        </w:tabs>
        <w:suppressAutoHyphens/>
        <w:spacing w:after="120"/>
        <w:contextualSpacing w:val="0"/>
        <w:rPr>
          <w:spacing w:val="-3"/>
        </w:rPr>
      </w:pPr>
      <w:r w:rsidRPr="00F20C4D">
        <w:rPr>
          <w:spacing w:val="-3"/>
        </w:rPr>
        <w:t>2 (two) contra</w:t>
      </w:r>
      <w:r w:rsidR="009530F8">
        <w:rPr>
          <w:spacing w:val="-3"/>
        </w:rPr>
        <w:t>cts each of minimum value US$ 2 </w:t>
      </w:r>
      <w:r w:rsidRPr="00F20C4D">
        <w:rPr>
          <w:spacing w:val="-3"/>
        </w:rPr>
        <w:t>5</w:t>
      </w:r>
      <w:r w:rsidR="009530F8">
        <w:rPr>
          <w:spacing w:val="-3"/>
        </w:rPr>
        <w:t>00 000</w:t>
      </w:r>
      <w:r w:rsidRPr="00F20C4D">
        <w:rPr>
          <w:spacing w:val="-3"/>
        </w:rPr>
        <w:t xml:space="preserve"> million (two million five hundred thousand US dollars)</w:t>
      </w:r>
    </w:p>
    <w:p w:rsidR="00DF4E93" w:rsidRDefault="00F20C4D" w:rsidP="00F20C4D">
      <w:pPr>
        <w:tabs>
          <w:tab w:val="left" w:pos="-720"/>
        </w:tabs>
        <w:suppressAutoHyphens/>
        <w:spacing w:after="120"/>
        <w:ind w:left="708"/>
      </w:pP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 xml:space="preserve">be accepted. </w:t>
      </w:r>
    </w:p>
    <w:p w:rsidR="00F20C4D" w:rsidRDefault="00F20C4D" w:rsidP="00F20C4D">
      <w:pPr>
        <w:tabs>
          <w:tab w:val="left" w:pos="-720"/>
        </w:tabs>
        <w:suppressAutoHyphens/>
        <w:spacing w:after="120"/>
        <w:ind w:left="708"/>
      </w:pPr>
      <w:r>
        <w:t xml:space="preserve">Substantial completion shall be based on 80% or more works completed under the contract. </w:t>
      </w:r>
    </w:p>
    <w:p w:rsidR="00F20C4D" w:rsidRDefault="00F20C4D" w:rsidP="00F20C4D">
      <w:pPr>
        <w:tabs>
          <w:tab w:val="left" w:pos="-720"/>
        </w:tabs>
        <w:suppressAutoHyphens/>
        <w:spacing w:after="120"/>
        <w:ind w:left="708"/>
      </w:pPr>
      <w:r>
        <w:t>For contracts under which the Bidder participated as a joint venture member or sub-contractor, only the Bidder’s share, by value, shall be considered.</w:t>
      </w:r>
    </w:p>
    <w:p w:rsidR="00F20C4D" w:rsidRDefault="00F20C4D" w:rsidP="00F20C4D">
      <w:pPr>
        <w:tabs>
          <w:tab w:val="left" w:pos="-720"/>
        </w:tabs>
        <w:suppressAutoHyphens/>
        <w:spacing w:after="120"/>
        <w:ind w:left="708"/>
      </w:pPr>
      <w:r w:rsidRPr="00F20C4D">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rsidR="00F20C4D" w:rsidRDefault="00F20C4D" w:rsidP="00F20C4D">
      <w:pPr>
        <w:pStyle w:val="a8"/>
        <w:numPr>
          <w:ilvl w:val="0"/>
          <w:numId w:val="3"/>
        </w:numPr>
        <w:tabs>
          <w:tab w:val="left" w:pos="-720"/>
        </w:tabs>
        <w:suppressAutoHyphens/>
        <w:spacing w:after="120"/>
        <w:contextualSpacing w:val="0"/>
        <w:rPr>
          <w:spacing w:val="-3"/>
        </w:rPr>
      </w:pPr>
      <w:r w:rsidRPr="00F20C4D">
        <w:rPr>
          <w:spacing w:val="-3"/>
        </w:rPr>
        <w:t xml:space="preserve">For the above and any other contracts completed and under implementation as prime contractor, </w:t>
      </w:r>
      <w:r w:rsidR="00921AB8">
        <w:rPr>
          <w:spacing w:val="-3"/>
        </w:rPr>
        <w:t>JV</w:t>
      </w:r>
      <w:r w:rsidRPr="00F20C4D">
        <w:rPr>
          <w:spacing w:val="-3"/>
        </w:rPr>
        <w:t xml:space="preserve"> member, management contractor or sub-contractor on or after the first day of the calendar year duri</w:t>
      </w:r>
      <w:r>
        <w:rPr>
          <w:spacing w:val="-3"/>
        </w:rPr>
        <w:t>ng the period stipulated in</w:t>
      </w:r>
      <w:r w:rsidR="00921AB8">
        <w:rPr>
          <w:spacing w:val="-3"/>
        </w:rPr>
        <w:t xml:space="preserve"> para</w:t>
      </w:r>
      <w:r>
        <w:rPr>
          <w:spacing w:val="-3"/>
        </w:rPr>
        <w:t xml:space="preserve"> </w:t>
      </w:r>
      <w:r w:rsidRPr="00F20C4D">
        <w:rPr>
          <w:spacing w:val="-3"/>
        </w:rPr>
        <w:t>(a) above, a minimum construction experience in the following key activities successfully completed</w:t>
      </w:r>
      <w:r w:rsidRPr="00DF4E93">
        <w:rPr>
          <w:spacing w:val="-3"/>
        </w:rPr>
        <w:t>:</w:t>
      </w:r>
      <w:r>
        <w:rPr>
          <w:spacing w:val="-3"/>
        </w:rPr>
        <w:t xml:space="preserve"> </w:t>
      </w:r>
    </w:p>
    <w:p w:rsidR="00DF4E93" w:rsidRPr="00DF4E93" w:rsidRDefault="00F20C4D" w:rsidP="00F20C4D">
      <w:pPr>
        <w:pStyle w:val="a8"/>
        <w:numPr>
          <w:ilvl w:val="0"/>
          <w:numId w:val="4"/>
        </w:numPr>
        <w:tabs>
          <w:tab w:val="left" w:pos="-720"/>
        </w:tabs>
        <w:suppressAutoHyphens/>
        <w:spacing w:after="120"/>
        <w:contextualSpacing w:val="0"/>
        <w:rPr>
          <w:spacing w:val="-3"/>
        </w:rPr>
      </w:pPr>
      <w:r w:rsidRPr="00F20C4D">
        <w:rPr>
          <w:spacing w:val="-3"/>
        </w:rPr>
        <w:t>reconstruction / construction of pressurized municipal water/wastewater pipelines in a range of DN400 – DN1200, at least 2 km</w:t>
      </w:r>
      <w:r w:rsidR="00DF4E93" w:rsidRPr="00DF4E93">
        <w:rPr>
          <w:spacing w:val="-3"/>
        </w:rPr>
        <w:t>.</w:t>
      </w:r>
    </w:p>
    <w:p w:rsidR="00DF4E93" w:rsidRDefault="00F20C4D" w:rsidP="00F20C4D">
      <w:pPr>
        <w:pStyle w:val="a8"/>
        <w:numPr>
          <w:ilvl w:val="0"/>
          <w:numId w:val="4"/>
        </w:numPr>
        <w:tabs>
          <w:tab w:val="left" w:pos="-720"/>
        </w:tabs>
        <w:suppressAutoHyphens/>
        <w:spacing w:after="120"/>
        <w:contextualSpacing w:val="0"/>
        <w:rPr>
          <w:spacing w:val="-3"/>
        </w:rPr>
      </w:pPr>
      <w:r w:rsidRPr="00F20C4D">
        <w:rPr>
          <w:spacing w:val="-3"/>
        </w:rPr>
        <w:t>reconstruction / construction of river crossings in a range of</w:t>
      </w:r>
      <w:r>
        <w:rPr>
          <w:spacing w:val="-3"/>
        </w:rPr>
        <w:t xml:space="preserve"> DN400 – DN1200, at least 1 pcs</w:t>
      </w:r>
      <w:r w:rsidR="00DF4E93" w:rsidRPr="00DF4E93">
        <w:rPr>
          <w:spacing w:val="-3"/>
        </w:rPr>
        <w:t>.</w:t>
      </w:r>
    </w:p>
    <w:p w:rsidR="00262285" w:rsidRDefault="004F1C20" w:rsidP="004F1C20">
      <w:pPr>
        <w:tabs>
          <w:tab w:val="left" w:pos="-720"/>
        </w:tabs>
        <w:suppressAutoHyphens/>
        <w:spacing w:after="120"/>
        <w:ind w:left="709"/>
        <w:rPr>
          <w:spacing w:val="-3"/>
        </w:rPr>
      </w:pPr>
      <w:r w:rsidRPr="004F1C20">
        <w:rPr>
          <w:spacing w:val="-3"/>
        </w:rPr>
        <w:t xml:space="preserve">Volume, number or rate of production of any key activity can be demonstrated in one or more contracts combined if executed during same time period. </w:t>
      </w:r>
    </w:p>
    <w:p w:rsidR="007746C3" w:rsidRDefault="007746C3" w:rsidP="004F1C20">
      <w:pPr>
        <w:tabs>
          <w:tab w:val="left" w:pos="-720"/>
        </w:tabs>
        <w:suppressAutoHyphens/>
        <w:spacing w:after="120"/>
        <w:ind w:left="709"/>
        <w:rPr>
          <w:spacing w:val="-3"/>
        </w:rPr>
      </w:pP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r>
        <w:t>.</w:t>
      </w:r>
    </w:p>
    <w:p w:rsidR="00262285" w:rsidRDefault="00262285" w:rsidP="00262285">
      <w:pPr>
        <w:pStyle w:val="a8"/>
        <w:numPr>
          <w:ilvl w:val="0"/>
          <w:numId w:val="1"/>
        </w:numPr>
        <w:tabs>
          <w:tab w:val="left" w:pos="-720"/>
        </w:tabs>
        <w:suppressAutoHyphens/>
        <w:spacing w:after="200"/>
        <w:rPr>
          <w:spacing w:val="-3"/>
        </w:rPr>
      </w:pPr>
      <w:r>
        <w:rPr>
          <w:b/>
          <w:spacing w:val="-3"/>
        </w:rPr>
        <w:t>Personnel</w:t>
      </w:r>
      <w:r w:rsidRPr="00262285">
        <w:rPr>
          <w:b/>
          <w:spacing w:val="-3"/>
        </w:rPr>
        <w:t xml:space="preserve">: </w:t>
      </w:r>
      <w:r w:rsidRPr="00262285">
        <w:rPr>
          <w:spacing w:val="-3"/>
        </w:rPr>
        <w:t>The Bidder must demonstrate that it will have the personnel for the key positions that meet the following requirements: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32"/>
        <w:gridCol w:w="2126"/>
        <w:gridCol w:w="1912"/>
      </w:tblGrid>
      <w:tr w:rsidR="00BF5A5C" w:rsidRPr="009370E9" w:rsidTr="000B6113">
        <w:tc>
          <w:tcPr>
            <w:tcW w:w="720" w:type="dxa"/>
            <w:tcBorders>
              <w:top w:val="single" w:sz="12" w:space="0" w:color="auto"/>
              <w:left w:val="single" w:sz="12" w:space="0" w:color="auto"/>
              <w:bottom w:val="single" w:sz="12" w:space="0" w:color="auto"/>
              <w:right w:val="single" w:sz="12" w:space="0" w:color="auto"/>
            </w:tcBorders>
            <w:vAlign w:val="center"/>
          </w:tcPr>
          <w:p w:rsidR="00BF5A5C" w:rsidRPr="007F5F8F" w:rsidRDefault="00BF5A5C" w:rsidP="000B6113">
            <w:pPr>
              <w:jc w:val="center"/>
              <w:rPr>
                <w:b/>
                <w:bCs/>
                <w:iCs/>
                <w:sz w:val="20"/>
              </w:rPr>
            </w:pPr>
            <w:r w:rsidRPr="007F5F8F">
              <w:rPr>
                <w:b/>
                <w:bCs/>
                <w:iCs/>
                <w:sz w:val="20"/>
              </w:rPr>
              <w:t>No.</w:t>
            </w:r>
          </w:p>
        </w:tc>
        <w:tc>
          <w:tcPr>
            <w:tcW w:w="3432" w:type="dxa"/>
            <w:tcBorders>
              <w:top w:val="single" w:sz="12" w:space="0" w:color="auto"/>
              <w:left w:val="single" w:sz="12" w:space="0" w:color="auto"/>
              <w:bottom w:val="single" w:sz="12" w:space="0" w:color="auto"/>
              <w:right w:val="single" w:sz="12" w:space="0" w:color="auto"/>
            </w:tcBorders>
            <w:vAlign w:val="center"/>
          </w:tcPr>
          <w:p w:rsidR="00BF5A5C" w:rsidRPr="007F5F8F" w:rsidRDefault="00BF5A5C" w:rsidP="000B6113">
            <w:pPr>
              <w:jc w:val="center"/>
              <w:rPr>
                <w:b/>
                <w:bCs/>
                <w:iCs/>
                <w:sz w:val="20"/>
              </w:rPr>
            </w:pPr>
            <w:r w:rsidRPr="007F5F8F">
              <w:rPr>
                <w:b/>
                <w:bCs/>
                <w:iCs/>
                <w:sz w:val="20"/>
              </w:rPr>
              <w:t>Position</w:t>
            </w:r>
          </w:p>
        </w:tc>
        <w:tc>
          <w:tcPr>
            <w:tcW w:w="2126" w:type="dxa"/>
            <w:tcBorders>
              <w:top w:val="single" w:sz="12" w:space="0" w:color="auto"/>
              <w:left w:val="single" w:sz="12" w:space="0" w:color="auto"/>
              <w:bottom w:val="single" w:sz="12" w:space="0" w:color="auto"/>
              <w:right w:val="single" w:sz="12" w:space="0" w:color="auto"/>
            </w:tcBorders>
            <w:vAlign w:val="center"/>
          </w:tcPr>
          <w:p w:rsidR="00BF5A5C" w:rsidRPr="007F5F8F" w:rsidRDefault="00BF5A5C" w:rsidP="000B6113">
            <w:pPr>
              <w:jc w:val="center"/>
              <w:rPr>
                <w:b/>
                <w:bCs/>
                <w:iCs/>
                <w:sz w:val="20"/>
              </w:rPr>
            </w:pPr>
            <w:r w:rsidRPr="007F5F8F">
              <w:rPr>
                <w:b/>
                <w:bCs/>
                <w:iCs/>
                <w:sz w:val="20"/>
              </w:rPr>
              <w:t>Total Work</w:t>
            </w:r>
          </w:p>
          <w:p w:rsidR="00BF5A5C" w:rsidRPr="007F5F8F" w:rsidRDefault="00BF5A5C" w:rsidP="000B6113">
            <w:pPr>
              <w:jc w:val="center"/>
              <w:rPr>
                <w:b/>
                <w:bCs/>
                <w:iCs/>
                <w:sz w:val="20"/>
              </w:rPr>
            </w:pPr>
            <w:r w:rsidRPr="007F5F8F">
              <w:rPr>
                <w:b/>
                <w:bCs/>
                <w:iCs/>
                <w:sz w:val="20"/>
              </w:rPr>
              <w:t>Experience (years)</w:t>
            </w:r>
          </w:p>
        </w:tc>
        <w:tc>
          <w:tcPr>
            <w:tcW w:w="1912" w:type="dxa"/>
            <w:tcBorders>
              <w:top w:val="single" w:sz="12" w:space="0" w:color="auto"/>
              <w:left w:val="single" w:sz="12" w:space="0" w:color="auto"/>
              <w:bottom w:val="single" w:sz="12" w:space="0" w:color="auto"/>
              <w:right w:val="single" w:sz="12" w:space="0" w:color="auto"/>
            </w:tcBorders>
            <w:vAlign w:val="center"/>
          </w:tcPr>
          <w:p w:rsidR="00BF5A5C" w:rsidRPr="007F5F8F" w:rsidRDefault="00BF5A5C" w:rsidP="000B6113">
            <w:pPr>
              <w:jc w:val="center"/>
              <w:rPr>
                <w:b/>
                <w:bCs/>
                <w:iCs/>
                <w:sz w:val="20"/>
              </w:rPr>
            </w:pPr>
            <w:r w:rsidRPr="007F5F8F">
              <w:rPr>
                <w:b/>
                <w:bCs/>
                <w:iCs/>
                <w:sz w:val="20"/>
              </w:rPr>
              <w:t>Similar Works Experience (years)</w:t>
            </w:r>
          </w:p>
        </w:tc>
      </w:tr>
      <w:tr w:rsidR="00BF5A5C" w:rsidRPr="009370E9" w:rsidTr="000B6113">
        <w:tc>
          <w:tcPr>
            <w:tcW w:w="720" w:type="dxa"/>
            <w:tcBorders>
              <w:top w:val="single" w:sz="12" w:space="0" w:color="auto"/>
            </w:tcBorders>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1</w:t>
            </w:r>
          </w:p>
        </w:tc>
        <w:tc>
          <w:tcPr>
            <w:tcW w:w="3432" w:type="dxa"/>
            <w:tcBorders>
              <w:top w:val="single" w:sz="12" w:space="0" w:color="auto"/>
            </w:tcBorders>
          </w:tcPr>
          <w:p w:rsidR="00BF5A5C" w:rsidRPr="00641223" w:rsidRDefault="00BF5A5C" w:rsidP="000B6113">
            <w:pPr>
              <w:pStyle w:val="a9"/>
              <w:pBdr>
                <w:bottom w:val="none" w:sz="0" w:space="0" w:color="auto"/>
              </w:pBdr>
              <w:tabs>
                <w:tab w:val="clear" w:pos="9000"/>
              </w:tabs>
              <w:jc w:val="left"/>
              <w:rPr>
                <w:iCs/>
                <w:sz w:val="24"/>
              </w:rPr>
            </w:pPr>
            <w:r w:rsidRPr="00641223">
              <w:rPr>
                <w:iCs/>
                <w:sz w:val="24"/>
              </w:rPr>
              <w:t>Contract Manager / Contractor’s Representative</w:t>
            </w:r>
          </w:p>
        </w:tc>
        <w:tc>
          <w:tcPr>
            <w:tcW w:w="2126" w:type="dxa"/>
            <w:tcBorders>
              <w:top w:val="single" w:sz="12" w:space="0" w:color="auto"/>
            </w:tcBorders>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15</w:t>
            </w:r>
          </w:p>
        </w:tc>
        <w:tc>
          <w:tcPr>
            <w:tcW w:w="1912" w:type="dxa"/>
            <w:tcBorders>
              <w:top w:val="single" w:sz="12" w:space="0" w:color="auto"/>
            </w:tcBorders>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10</w:t>
            </w:r>
          </w:p>
        </w:tc>
      </w:tr>
      <w:tr w:rsidR="00BF5A5C" w:rsidRPr="009370E9" w:rsidTr="000B6113">
        <w:tc>
          <w:tcPr>
            <w:tcW w:w="720"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2</w:t>
            </w:r>
          </w:p>
        </w:tc>
        <w:tc>
          <w:tcPr>
            <w:tcW w:w="3432" w:type="dxa"/>
          </w:tcPr>
          <w:p w:rsidR="00BF5A5C" w:rsidRPr="00641223" w:rsidRDefault="00BF5A5C" w:rsidP="000B6113">
            <w:pPr>
              <w:pStyle w:val="a9"/>
              <w:pBdr>
                <w:bottom w:val="none" w:sz="0" w:space="0" w:color="auto"/>
              </w:pBdr>
              <w:tabs>
                <w:tab w:val="clear" w:pos="9000"/>
              </w:tabs>
              <w:jc w:val="left"/>
              <w:rPr>
                <w:iCs/>
                <w:sz w:val="24"/>
              </w:rPr>
            </w:pPr>
            <w:r w:rsidRPr="00641223">
              <w:rPr>
                <w:iCs/>
                <w:sz w:val="24"/>
              </w:rPr>
              <w:t>Site Engineer</w:t>
            </w:r>
          </w:p>
        </w:tc>
        <w:tc>
          <w:tcPr>
            <w:tcW w:w="2126"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10</w:t>
            </w:r>
          </w:p>
        </w:tc>
        <w:tc>
          <w:tcPr>
            <w:tcW w:w="1912" w:type="dxa"/>
            <w:vAlign w:val="center"/>
          </w:tcPr>
          <w:p w:rsidR="00BF5A5C" w:rsidRPr="00641223" w:rsidRDefault="00BF5A5C" w:rsidP="000B6113">
            <w:pPr>
              <w:jc w:val="center"/>
            </w:pPr>
            <w:r w:rsidRPr="00641223">
              <w:rPr>
                <w:iCs/>
              </w:rPr>
              <w:t>6</w:t>
            </w:r>
          </w:p>
        </w:tc>
      </w:tr>
      <w:tr w:rsidR="00BF5A5C" w:rsidRPr="009370E9" w:rsidTr="000B6113">
        <w:tc>
          <w:tcPr>
            <w:tcW w:w="720"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3</w:t>
            </w:r>
          </w:p>
        </w:tc>
        <w:tc>
          <w:tcPr>
            <w:tcW w:w="3432" w:type="dxa"/>
          </w:tcPr>
          <w:p w:rsidR="00BF5A5C" w:rsidRPr="00641223" w:rsidRDefault="00BF5A5C" w:rsidP="000B6113">
            <w:pPr>
              <w:pStyle w:val="a9"/>
              <w:pBdr>
                <w:bottom w:val="none" w:sz="0" w:space="0" w:color="auto"/>
              </w:pBdr>
              <w:tabs>
                <w:tab w:val="clear" w:pos="9000"/>
              </w:tabs>
              <w:jc w:val="left"/>
              <w:rPr>
                <w:iCs/>
                <w:sz w:val="24"/>
              </w:rPr>
            </w:pPr>
            <w:r w:rsidRPr="00641223">
              <w:rPr>
                <w:iCs/>
                <w:sz w:val="24"/>
              </w:rPr>
              <w:t>Quality Engineer</w:t>
            </w:r>
          </w:p>
        </w:tc>
        <w:tc>
          <w:tcPr>
            <w:tcW w:w="2126"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10</w:t>
            </w:r>
          </w:p>
        </w:tc>
        <w:tc>
          <w:tcPr>
            <w:tcW w:w="1912" w:type="dxa"/>
            <w:vAlign w:val="center"/>
          </w:tcPr>
          <w:p w:rsidR="00BF5A5C" w:rsidRPr="00641223" w:rsidRDefault="00BF5A5C" w:rsidP="000B6113">
            <w:pPr>
              <w:jc w:val="center"/>
            </w:pPr>
            <w:r w:rsidRPr="00641223">
              <w:rPr>
                <w:iCs/>
              </w:rPr>
              <w:t>6</w:t>
            </w:r>
          </w:p>
        </w:tc>
      </w:tr>
      <w:tr w:rsidR="00BF5A5C" w:rsidRPr="009370E9" w:rsidTr="000B6113">
        <w:tc>
          <w:tcPr>
            <w:tcW w:w="720" w:type="dxa"/>
            <w:vAlign w:val="center"/>
          </w:tcPr>
          <w:p w:rsidR="00BF5A5C" w:rsidRPr="00641223" w:rsidRDefault="00BF5A5C" w:rsidP="000B6113">
            <w:pPr>
              <w:pStyle w:val="a9"/>
              <w:pBdr>
                <w:bottom w:val="none" w:sz="0" w:space="0" w:color="auto"/>
              </w:pBdr>
              <w:tabs>
                <w:tab w:val="clear" w:pos="9000"/>
              </w:tabs>
              <w:jc w:val="center"/>
              <w:rPr>
                <w:iCs/>
                <w:sz w:val="24"/>
                <w:lang w:val="ru-RU"/>
              </w:rPr>
            </w:pPr>
            <w:r w:rsidRPr="00641223">
              <w:rPr>
                <w:iCs/>
                <w:sz w:val="24"/>
              </w:rPr>
              <w:lastRenderedPageBreak/>
              <w:t>4</w:t>
            </w:r>
          </w:p>
        </w:tc>
        <w:tc>
          <w:tcPr>
            <w:tcW w:w="3432" w:type="dxa"/>
          </w:tcPr>
          <w:p w:rsidR="00BF5A5C" w:rsidRPr="00641223" w:rsidRDefault="00BF5A5C" w:rsidP="000B6113">
            <w:pPr>
              <w:pStyle w:val="a9"/>
              <w:pBdr>
                <w:bottom w:val="none" w:sz="0" w:space="0" w:color="auto"/>
              </w:pBdr>
              <w:tabs>
                <w:tab w:val="clear" w:pos="9000"/>
              </w:tabs>
              <w:jc w:val="left"/>
              <w:rPr>
                <w:iCs/>
                <w:sz w:val="24"/>
              </w:rPr>
            </w:pPr>
            <w:r w:rsidRPr="00641223">
              <w:rPr>
                <w:color w:val="000000"/>
                <w:sz w:val="24"/>
              </w:rPr>
              <w:t xml:space="preserve">Environmental, Health &amp; Safety </w:t>
            </w:r>
            <w:r w:rsidRPr="00641223">
              <w:rPr>
                <w:color w:val="000000"/>
                <w:sz w:val="24"/>
              </w:rPr>
              <w:br/>
              <w:t xml:space="preserve">(EHS) </w:t>
            </w:r>
            <w:r w:rsidRPr="00641223">
              <w:rPr>
                <w:color w:val="000000"/>
                <w:sz w:val="24"/>
                <w:lang w:val="en-GB"/>
              </w:rPr>
              <w:t>Representative</w:t>
            </w:r>
          </w:p>
        </w:tc>
        <w:tc>
          <w:tcPr>
            <w:tcW w:w="2126"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5</w:t>
            </w:r>
          </w:p>
        </w:tc>
        <w:tc>
          <w:tcPr>
            <w:tcW w:w="1912" w:type="dxa"/>
            <w:vAlign w:val="center"/>
          </w:tcPr>
          <w:p w:rsidR="00BF5A5C" w:rsidRPr="00641223" w:rsidRDefault="00BF5A5C" w:rsidP="000B6113">
            <w:pPr>
              <w:pStyle w:val="a9"/>
              <w:pBdr>
                <w:bottom w:val="none" w:sz="0" w:space="0" w:color="auto"/>
              </w:pBdr>
              <w:tabs>
                <w:tab w:val="clear" w:pos="9000"/>
              </w:tabs>
              <w:jc w:val="center"/>
              <w:rPr>
                <w:iCs/>
                <w:sz w:val="24"/>
              </w:rPr>
            </w:pPr>
            <w:r w:rsidRPr="00641223">
              <w:rPr>
                <w:iCs/>
                <w:sz w:val="24"/>
              </w:rPr>
              <w:t>2</w:t>
            </w:r>
          </w:p>
        </w:tc>
      </w:tr>
    </w:tbl>
    <w:p w:rsidR="00262285" w:rsidRDefault="00262285" w:rsidP="00262285">
      <w:pPr>
        <w:tabs>
          <w:tab w:val="left" w:pos="-720"/>
        </w:tabs>
        <w:suppressAutoHyphens/>
        <w:spacing w:after="200"/>
        <w:rPr>
          <w:spacing w:val="-3"/>
        </w:rPr>
      </w:pPr>
    </w:p>
    <w:p w:rsidR="00BF5A5C" w:rsidRDefault="00BF5A5C" w:rsidP="00BF5A5C">
      <w:pPr>
        <w:pStyle w:val="a8"/>
        <w:numPr>
          <w:ilvl w:val="0"/>
          <w:numId w:val="1"/>
        </w:numPr>
        <w:tabs>
          <w:tab w:val="left" w:pos="-720"/>
        </w:tabs>
        <w:suppressAutoHyphens/>
        <w:spacing w:after="200"/>
        <w:rPr>
          <w:spacing w:val="-3"/>
        </w:rPr>
      </w:pPr>
      <w:r>
        <w:rPr>
          <w:b/>
          <w:spacing w:val="-3"/>
        </w:rPr>
        <w:t>Equipment</w:t>
      </w:r>
      <w:r w:rsidRPr="00262285">
        <w:rPr>
          <w:b/>
          <w:spacing w:val="-3"/>
        </w:rPr>
        <w:t xml:space="preserve">: </w:t>
      </w:r>
      <w:r w:rsidRPr="00BF5A5C">
        <w:rPr>
          <w:spacing w:val="-3"/>
        </w:rPr>
        <w:t>The Bidder must demonstrate that it will have access</w:t>
      </w:r>
      <w:r>
        <w:rPr>
          <w:spacing w:val="-3"/>
        </w:rPr>
        <w:t xml:space="preserve"> (</w:t>
      </w:r>
      <w:r w:rsidRPr="00BF5A5C">
        <w:rPr>
          <w:spacing w:val="-3"/>
        </w:rPr>
        <w:t xml:space="preserve">for buy, lease, hire, </w:t>
      </w:r>
      <w:proofErr w:type="spellStart"/>
      <w:r w:rsidRPr="00BF5A5C">
        <w:rPr>
          <w:spacing w:val="-3"/>
        </w:rPr>
        <w:t>etc</w:t>
      </w:r>
      <w:proofErr w:type="spellEnd"/>
      <w:r w:rsidRPr="00BF5A5C">
        <w:rPr>
          <w:spacing w:val="-3"/>
        </w:rPr>
        <w:t>) to the key Contractor’s equipment listed hereafter</w:t>
      </w:r>
      <w:r w:rsidRPr="00262285">
        <w:rPr>
          <w:spacing w:val="-3"/>
        </w:rPr>
        <w:t>:</w:t>
      </w:r>
    </w:p>
    <w:tbl>
      <w:tblPr>
        <w:tblW w:w="4368"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6069"/>
        <w:gridCol w:w="1876"/>
      </w:tblGrid>
      <w:tr w:rsidR="00BF5A5C" w:rsidRPr="002A474A" w:rsidTr="00BF5A5C">
        <w:tc>
          <w:tcPr>
            <w:tcW w:w="656" w:type="dxa"/>
            <w:tcBorders>
              <w:top w:val="single" w:sz="12" w:space="0" w:color="auto"/>
              <w:left w:val="single" w:sz="12" w:space="0" w:color="auto"/>
              <w:bottom w:val="single" w:sz="12" w:space="0" w:color="auto"/>
              <w:right w:val="single" w:sz="12" w:space="0" w:color="auto"/>
            </w:tcBorders>
            <w:vAlign w:val="center"/>
          </w:tcPr>
          <w:p w:rsidR="00BF5A5C" w:rsidRPr="000B335F" w:rsidRDefault="00BF5A5C" w:rsidP="000B6113">
            <w:pPr>
              <w:jc w:val="center"/>
              <w:rPr>
                <w:b/>
                <w:bCs/>
                <w:iCs/>
              </w:rPr>
            </w:pPr>
            <w:r w:rsidRPr="000B335F">
              <w:rPr>
                <w:b/>
                <w:bCs/>
                <w:iCs/>
              </w:rPr>
              <w:t>No.</w:t>
            </w:r>
          </w:p>
        </w:tc>
        <w:tc>
          <w:tcPr>
            <w:tcW w:w="5722" w:type="dxa"/>
            <w:tcBorders>
              <w:top w:val="single" w:sz="12" w:space="0" w:color="auto"/>
              <w:left w:val="single" w:sz="12" w:space="0" w:color="auto"/>
              <w:bottom w:val="single" w:sz="12" w:space="0" w:color="auto"/>
              <w:right w:val="single" w:sz="12" w:space="0" w:color="auto"/>
            </w:tcBorders>
            <w:vAlign w:val="center"/>
          </w:tcPr>
          <w:p w:rsidR="00BF5A5C" w:rsidRPr="000B335F" w:rsidRDefault="00BF5A5C" w:rsidP="000B6113">
            <w:pPr>
              <w:jc w:val="center"/>
              <w:rPr>
                <w:b/>
                <w:bCs/>
                <w:iCs/>
              </w:rPr>
            </w:pPr>
            <w:r w:rsidRPr="000B335F">
              <w:rPr>
                <w:b/>
                <w:bCs/>
                <w:iCs/>
              </w:rPr>
              <w:t>Equipment Type and Characteristics</w:t>
            </w:r>
          </w:p>
        </w:tc>
        <w:tc>
          <w:tcPr>
            <w:tcW w:w="1769" w:type="dxa"/>
            <w:tcBorders>
              <w:top w:val="single" w:sz="12" w:space="0" w:color="auto"/>
              <w:left w:val="single" w:sz="12" w:space="0" w:color="auto"/>
              <w:bottom w:val="single" w:sz="12" w:space="0" w:color="auto"/>
              <w:right w:val="single" w:sz="12" w:space="0" w:color="auto"/>
            </w:tcBorders>
            <w:vAlign w:val="center"/>
          </w:tcPr>
          <w:p w:rsidR="00BF5A5C" w:rsidRPr="000B335F" w:rsidRDefault="00BF5A5C" w:rsidP="000B6113">
            <w:pPr>
              <w:jc w:val="center"/>
              <w:rPr>
                <w:b/>
                <w:bCs/>
                <w:iCs/>
              </w:rPr>
            </w:pPr>
            <w:r w:rsidRPr="000B335F">
              <w:rPr>
                <w:b/>
                <w:bCs/>
                <w:iCs/>
              </w:rPr>
              <w:t xml:space="preserve">Minimum Number required </w:t>
            </w:r>
          </w:p>
        </w:tc>
      </w:tr>
      <w:tr w:rsidR="00BF5A5C" w:rsidRPr="002A474A" w:rsidTr="00BF5A5C">
        <w:tc>
          <w:tcPr>
            <w:tcW w:w="656" w:type="dxa"/>
            <w:tcBorders>
              <w:top w:val="single" w:sz="12" w:space="0" w:color="auto"/>
            </w:tcBorders>
            <w:vAlign w:val="center"/>
          </w:tcPr>
          <w:p w:rsidR="00BF5A5C" w:rsidRPr="000B335F" w:rsidRDefault="00BF5A5C" w:rsidP="000B6113">
            <w:pPr>
              <w:pStyle w:val="a9"/>
              <w:pBdr>
                <w:bottom w:val="none" w:sz="0" w:space="0" w:color="auto"/>
              </w:pBdr>
              <w:tabs>
                <w:tab w:val="clear" w:pos="9000"/>
              </w:tabs>
              <w:jc w:val="center"/>
              <w:rPr>
                <w:iCs/>
                <w:sz w:val="24"/>
              </w:rPr>
            </w:pPr>
            <w:r w:rsidRPr="000B335F">
              <w:rPr>
                <w:iCs/>
                <w:sz w:val="24"/>
              </w:rPr>
              <w:t>1</w:t>
            </w:r>
          </w:p>
        </w:tc>
        <w:tc>
          <w:tcPr>
            <w:tcW w:w="5722" w:type="dxa"/>
            <w:tcBorders>
              <w:top w:val="single" w:sz="12" w:space="0" w:color="auto"/>
            </w:tcBorders>
            <w:vAlign w:val="center"/>
          </w:tcPr>
          <w:p w:rsidR="00BF5A5C" w:rsidRPr="00DB73DC" w:rsidRDefault="00BF5A5C" w:rsidP="000B6113">
            <w:pPr>
              <w:rPr>
                <w:iCs/>
              </w:rPr>
            </w:pPr>
            <w:r w:rsidRPr="00DB73DC">
              <w:rPr>
                <w:iCs/>
              </w:rPr>
              <w:t xml:space="preserve">Dump truck, at least 10 t </w:t>
            </w:r>
          </w:p>
        </w:tc>
        <w:tc>
          <w:tcPr>
            <w:tcW w:w="1769" w:type="dxa"/>
            <w:tcBorders>
              <w:top w:val="single" w:sz="12" w:space="0" w:color="auto"/>
            </w:tcBorders>
            <w:vAlign w:val="center"/>
          </w:tcPr>
          <w:p w:rsidR="00BF5A5C" w:rsidRPr="00DB73DC" w:rsidRDefault="00BF5A5C" w:rsidP="000B6113">
            <w:pPr>
              <w:jc w:val="center"/>
              <w:rPr>
                <w:iCs/>
              </w:rPr>
            </w:pPr>
            <w:r>
              <w:rPr>
                <w:iCs/>
              </w:rPr>
              <w:t>2 pcs</w:t>
            </w:r>
          </w:p>
        </w:tc>
      </w:tr>
      <w:tr w:rsidR="00BF5A5C" w:rsidRPr="002A474A" w:rsidTr="00BF5A5C">
        <w:tc>
          <w:tcPr>
            <w:tcW w:w="656" w:type="dxa"/>
            <w:vAlign w:val="center"/>
          </w:tcPr>
          <w:p w:rsidR="00BF5A5C" w:rsidRPr="000B335F" w:rsidRDefault="00BF5A5C" w:rsidP="000B6113">
            <w:pPr>
              <w:jc w:val="center"/>
              <w:rPr>
                <w:iCs/>
              </w:rPr>
            </w:pPr>
            <w:r w:rsidRPr="000B335F">
              <w:rPr>
                <w:iCs/>
              </w:rPr>
              <w:t>2</w:t>
            </w:r>
          </w:p>
        </w:tc>
        <w:tc>
          <w:tcPr>
            <w:tcW w:w="5722" w:type="dxa"/>
            <w:vAlign w:val="center"/>
          </w:tcPr>
          <w:p w:rsidR="00BF5A5C" w:rsidRPr="000B335F" w:rsidRDefault="00BF5A5C" w:rsidP="000B6113">
            <w:pPr>
              <w:rPr>
                <w:iCs/>
              </w:rPr>
            </w:pPr>
            <w:r>
              <w:rPr>
                <w:iCs/>
              </w:rPr>
              <w:t xml:space="preserve">High sided truck, </w:t>
            </w:r>
            <w:r w:rsidRPr="00DB73DC">
              <w:rPr>
                <w:iCs/>
              </w:rPr>
              <w:t>at least 10 t</w:t>
            </w:r>
          </w:p>
        </w:tc>
        <w:tc>
          <w:tcPr>
            <w:tcW w:w="1769" w:type="dxa"/>
            <w:vAlign w:val="center"/>
          </w:tcPr>
          <w:p w:rsidR="00BF5A5C" w:rsidRPr="000B335F" w:rsidRDefault="00BF5A5C" w:rsidP="000B6113">
            <w:pPr>
              <w:jc w:val="center"/>
              <w:rPr>
                <w:iCs/>
                <w:lang w:val="uk-UA"/>
              </w:rPr>
            </w:pPr>
            <w:r w:rsidRPr="000B335F">
              <w:rPr>
                <w:iCs/>
              </w:rPr>
              <w:t>2 pcs</w:t>
            </w:r>
          </w:p>
        </w:tc>
      </w:tr>
      <w:tr w:rsidR="00BF5A5C" w:rsidRPr="002A474A" w:rsidTr="00BF5A5C">
        <w:tc>
          <w:tcPr>
            <w:tcW w:w="656" w:type="dxa"/>
            <w:vAlign w:val="center"/>
          </w:tcPr>
          <w:p w:rsidR="00BF5A5C" w:rsidRPr="00772CD5" w:rsidRDefault="00BF5A5C" w:rsidP="000B6113">
            <w:pPr>
              <w:jc w:val="center"/>
              <w:rPr>
                <w:iCs/>
                <w:lang w:val="ru-RU"/>
              </w:rPr>
            </w:pPr>
            <w:r>
              <w:rPr>
                <w:iCs/>
                <w:lang w:val="ru-RU"/>
              </w:rPr>
              <w:t>3</w:t>
            </w:r>
          </w:p>
        </w:tc>
        <w:tc>
          <w:tcPr>
            <w:tcW w:w="5722" w:type="dxa"/>
            <w:vAlign w:val="center"/>
          </w:tcPr>
          <w:p w:rsidR="00BF5A5C" w:rsidRPr="00DB73DC" w:rsidRDefault="00BF5A5C" w:rsidP="000B6113">
            <w:pPr>
              <w:rPr>
                <w:iCs/>
              </w:rPr>
            </w:pPr>
            <w:r>
              <w:rPr>
                <w:iCs/>
              </w:rPr>
              <w:t>Backhoe excavator, with bucket capacity 0.5</w:t>
            </w:r>
            <w:r w:rsidRPr="000B335F">
              <w:rPr>
                <w:iCs/>
              </w:rPr>
              <w:t xml:space="preserve"> to </w:t>
            </w:r>
            <w:r>
              <w:rPr>
                <w:iCs/>
              </w:rPr>
              <w:t>1</w:t>
            </w:r>
            <w:r w:rsidRPr="000B335F">
              <w:rPr>
                <w:iCs/>
              </w:rPr>
              <w:t xml:space="preserve"> m</w:t>
            </w:r>
            <w:r w:rsidRPr="008C5FC4">
              <w:rPr>
                <w:iCs/>
                <w:vertAlign w:val="superscript"/>
              </w:rPr>
              <w:t>3</w:t>
            </w:r>
          </w:p>
        </w:tc>
        <w:tc>
          <w:tcPr>
            <w:tcW w:w="1769" w:type="dxa"/>
            <w:vAlign w:val="center"/>
          </w:tcPr>
          <w:p w:rsidR="00BF5A5C" w:rsidRPr="00DB73DC" w:rsidRDefault="00BF5A5C" w:rsidP="000B6113">
            <w:pPr>
              <w:jc w:val="center"/>
              <w:rPr>
                <w:iCs/>
              </w:rPr>
            </w:pPr>
            <w:r>
              <w:rPr>
                <w:iCs/>
              </w:rPr>
              <w:t>2 pcs</w:t>
            </w:r>
          </w:p>
        </w:tc>
      </w:tr>
      <w:tr w:rsidR="00BF5A5C" w:rsidRPr="002A474A" w:rsidTr="00BF5A5C">
        <w:tc>
          <w:tcPr>
            <w:tcW w:w="656" w:type="dxa"/>
            <w:vAlign w:val="center"/>
          </w:tcPr>
          <w:p w:rsidR="00BF5A5C" w:rsidRPr="000B335F" w:rsidRDefault="00BF5A5C" w:rsidP="000B6113">
            <w:pPr>
              <w:jc w:val="center"/>
              <w:rPr>
                <w:iCs/>
              </w:rPr>
            </w:pPr>
            <w:r>
              <w:rPr>
                <w:iCs/>
              </w:rPr>
              <w:t>4</w:t>
            </w:r>
          </w:p>
        </w:tc>
        <w:tc>
          <w:tcPr>
            <w:tcW w:w="5722" w:type="dxa"/>
            <w:vAlign w:val="center"/>
          </w:tcPr>
          <w:p w:rsidR="00BF5A5C" w:rsidRPr="00F8131E" w:rsidRDefault="00BF5A5C" w:rsidP="000B6113">
            <w:pPr>
              <w:rPr>
                <w:iCs/>
              </w:rPr>
            </w:pPr>
            <w:r>
              <w:rPr>
                <w:iCs/>
              </w:rPr>
              <w:t>S</w:t>
            </w:r>
            <w:r w:rsidRPr="00F8131E">
              <w:rPr>
                <w:iCs/>
              </w:rPr>
              <w:t>elf-propelled roller</w:t>
            </w:r>
            <w:r w:rsidRPr="000B55CA">
              <w:rPr>
                <w:iCs/>
              </w:rPr>
              <w:t>,</w:t>
            </w:r>
            <w:r>
              <w:rPr>
                <w:iCs/>
              </w:rPr>
              <w:t xml:space="preserve"> at least 10 t</w:t>
            </w:r>
          </w:p>
        </w:tc>
        <w:tc>
          <w:tcPr>
            <w:tcW w:w="1769" w:type="dxa"/>
            <w:vAlign w:val="center"/>
          </w:tcPr>
          <w:p w:rsidR="00BF5A5C" w:rsidRDefault="00BF5A5C" w:rsidP="000B6113">
            <w:pPr>
              <w:jc w:val="center"/>
              <w:rPr>
                <w:iCs/>
              </w:rPr>
            </w:pPr>
            <w:r>
              <w:rPr>
                <w:iCs/>
              </w:rPr>
              <w:t>1 pc</w:t>
            </w:r>
          </w:p>
        </w:tc>
      </w:tr>
      <w:tr w:rsidR="00BF5A5C" w:rsidRPr="002A474A" w:rsidTr="00BF5A5C">
        <w:tc>
          <w:tcPr>
            <w:tcW w:w="656" w:type="dxa"/>
            <w:vAlign w:val="center"/>
          </w:tcPr>
          <w:p w:rsidR="00BF5A5C" w:rsidRPr="000B335F" w:rsidRDefault="00BF5A5C" w:rsidP="000B6113">
            <w:pPr>
              <w:jc w:val="center"/>
              <w:rPr>
                <w:iCs/>
              </w:rPr>
            </w:pPr>
            <w:r>
              <w:rPr>
                <w:iCs/>
              </w:rPr>
              <w:t>5</w:t>
            </w:r>
          </w:p>
        </w:tc>
        <w:tc>
          <w:tcPr>
            <w:tcW w:w="5722" w:type="dxa"/>
            <w:vAlign w:val="center"/>
          </w:tcPr>
          <w:p w:rsidR="00BF5A5C" w:rsidRPr="000B55CA" w:rsidRDefault="00BF5A5C" w:rsidP="000B6113">
            <w:pPr>
              <w:rPr>
                <w:iCs/>
              </w:rPr>
            </w:pPr>
            <w:r>
              <w:rPr>
                <w:iCs/>
              </w:rPr>
              <w:t>P</w:t>
            </w:r>
            <w:r w:rsidRPr="00F8131E">
              <w:rPr>
                <w:iCs/>
              </w:rPr>
              <w:t>neumatic-tired roller</w:t>
            </w:r>
            <w:r>
              <w:rPr>
                <w:iCs/>
              </w:rPr>
              <w:t>, at least 25 t</w:t>
            </w:r>
          </w:p>
        </w:tc>
        <w:tc>
          <w:tcPr>
            <w:tcW w:w="1769" w:type="dxa"/>
            <w:vAlign w:val="center"/>
          </w:tcPr>
          <w:p w:rsidR="00BF5A5C" w:rsidRDefault="00BF5A5C" w:rsidP="000B6113">
            <w:pPr>
              <w:jc w:val="center"/>
              <w:rPr>
                <w:iCs/>
              </w:rPr>
            </w:pPr>
            <w:r>
              <w:rPr>
                <w:iCs/>
              </w:rPr>
              <w:t>1 pc</w:t>
            </w:r>
          </w:p>
        </w:tc>
      </w:tr>
      <w:tr w:rsidR="00BF5A5C" w:rsidRPr="002A474A" w:rsidTr="00BF5A5C">
        <w:tc>
          <w:tcPr>
            <w:tcW w:w="656" w:type="dxa"/>
            <w:vAlign w:val="center"/>
          </w:tcPr>
          <w:p w:rsidR="00BF5A5C" w:rsidRPr="00F8131E" w:rsidRDefault="00BF5A5C" w:rsidP="000B6113">
            <w:pPr>
              <w:jc w:val="center"/>
              <w:rPr>
                <w:iCs/>
                <w:lang w:val="ru-RU"/>
              </w:rPr>
            </w:pPr>
            <w:r>
              <w:rPr>
                <w:iCs/>
                <w:lang w:val="ru-RU"/>
              </w:rPr>
              <w:t>6</w:t>
            </w:r>
          </w:p>
        </w:tc>
        <w:tc>
          <w:tcPr>
            <w:tcW w:w="5722" w:type="dxa"/>
            <w:vAlign w:val="center"/>
          </w:tcPr>
          <w:p w:rsidR="00BF5A5C" w:rsidRPr="00DB73DC" w:rsidRDefault="00BF5A5C" w:rsidP="000B6113">
            <w:pPr>
              <w:rPr>
                <w:iCs/>
              </w:rPr>
            </w:pPr>
            <w:r w:rsidRPr="00DB73DC">
              <w:rPr>
                <w:iCs/>
              </w:rPr>
              <w:t xml:space="preserve">Truck-mounted crane, at least 10 t </w:t>
            </w:r>
          </w:p>
        </w:tc>
        <w:tc>
          <w:tcPr>
            <w:tcW w:w="1769" w:type="dxa"/>
            <w:vAlign w:val="center"/>
          </w:tcPr>
          <w:p w:rsidR="00BF5A5C" w:rsidRPr="00F8131E" w:rsidRDefault="00BF5A5C" w:rsidP="000B6113">
            <w:pPr>
              <w:jc w:val="center"/>
              <w:rPr>
                <w:iCs/>
              </w:rPr>
            </w:pPr>
            <w:r>
              <w:rPr>
                <w:iCs/>
                <w:lang w:val="ru-RU"/>
              </w:rPr>
              <w:t xml:space="preserve">2 </w:t>
            </w:r>
            <w:r>
              <w:rPr>
                <w:iCs/>
              </w:rPr>
              <w:t>pc</w:t>
            </w:r>
          </w:p>
        </w:tc>
      </w:tr>
      <w:tr w:rsidR="00BF5A5C" w:rsidRPr="002A474A" w:rsidTr="00BF5A5C">
        <w:tc>
          <w:tcPr>
            <w:tcW w:w="656" w:type="dxa"/>
            <w:vAlign w:val="center"/>
          </w:tcPr>
          <w:p w:rsidR="00BF5A5C" w:rsidRPr="000B335F" w:rsidRDefault="00BF5A5C" w:rsidP="000B6113">
            <w:pPr>
              <w:jc w:val="center"/>
              <w:rPr>
                <w:iCs/>
              </w:rPr>
            </w:pPr>
            <w:r>
              <w:rPr>
                <w:iCs/>
              </w:rPr>
              <w:t>7</w:t>
            </w:r>
          </w:p>
        </w:tc>
        <w:tc>
          <w:tcPr>
            <w:tcW w:w="5722" w:type="dxa"/>
            <w:vAlign w:val="center"/>
          </w:tcPr>
          <w:p w:rsidR="00BF5A5C" w:rsidRPr="00DB73DC" w:rsidRDefault="00BF5A5C" w:rsidP="000B6113">
            <w:pPr>
              <w:rPr>
                <w:iCs/>
              </w:rPr>
            </w:pPr>
            <w:r w:rsidRPr="00F8131E">
              <w:rPr>
                <w:iCs/>
              </w:rPr>
              <w:t>Horizontal Directional Drill</w:t>
            </w:r>
            <w:r>
              <w:rPr>
                <w:iCs/>
              </w:rPr>
              <w:t xml:space="preserve"> Machine (Vermeer </w:t>
            </w:r>
            <w:r w:rsidRPr="00F8131E">
              <w:rPr>
                <w:iCs/>
              </w:rPr>
              <w:t>D36x50DR Series II</w:t>
            </w:r>
            <w:r>
              <w:rPr>
                <w:iCs/>
              </w:rPr>
              <w:t xml:space="preserve"> or equivalent)</w:t>
            </w:r>
          </w:p>
        </w:tc>
        <w:tc>
          <w:tcPr>
            <w:tcW w:w="1769" w:type="dxa"/>
            <w:vAlign w:val="center"/>
          </w:tcPr>
          <w:p w:rsidR="00BF5A5C" w:rsidRDefault="00BF5A5C" w:rsidP="000B6113">
            <w:pPr>
              <w:jc w:val="center"/>
              <w:rPr>
                <w:iCs/>
              </w:rPr>
            </w:pPr>
            <w:r>
              <w:rPr>
                <w:iCs/>
              </w:rPr>
              <w:t>1 pc</w:t>
            </w:r>
          </w:p>
        </w:tc>
      </w:tr>
      <w:tr w:rsidR="00BF5A5C" w:rsidRPr="002A474A" w:rsidTr="00BF5A5C">
        <w:tc>
          <w:tcPr>
            <w:tcW w:w="656" w:type="dxa"/>
            <w:vAlign w:val="center"/>
          </w:tcPr>
          <w:p w:rsidR="00BF5A5C" w:rsidRPr="000B335F" w:rsidRDefault="00BF5A5C" w:rsidP="000B6113">
            <w:pPr>
              <w:jc w:val="center"/>
              <w:rPr>
                <w:iCs/>
              </w:rPr>
            </w:pPr>
            <w:r>
              <w:rPr>
                <w:iCs/>
              </w:rPr>
              <w:t>8</w:t>
            </w:r>
          </w:p>
        </w:tc>
        <w:tc>
          <w:tcPr>
            <w:tcW w:w="5722" w:type="dxa"/>
            <w:vAlign w:val="center"/>
          </w:tcPr>
          <w:p w:rsidR="00BF5A5C" w:rsidRPr="00E1140A" w:rsidRDefault="00BF5A5C" w:rsidP="000B6113">
            <w:pPr>
              <w:rPr>
                <w:iCs/>
                <w:vertAlign w:val="superscript"/>
              </w:rPr>
            </w:pPr>
            <w:r>
              <w:rPr>
                <w:iCs/>
              </w:rPr>
              <w:t>Truck-mounted vacuum silt aspirator, with tank volume of 7 m</w:t>
            </w:r>
            <w:r>
              <w:rPr>
                <w:iCs/>
                <w:vertAlign w:val="superscript"/>
              </w:rPr>
              <w:t>3</w:t>
            </w:r>
          </w:p>
        </w:tc>
        <w:tc>
          <w:tcPr>
            <w:tcW w:w="1769" w:type="dxa"/>
            <w:vAlign w:val="center"/>
          </w:tcPr>
          <w:p w:rsidR="00BF5A5C" w:rsidRDefault="00BF5A5C" w:rsidP="000B6113">
            <w:pPr>
              <w:jc w:val="center"/>
              <w:rPr>
                <w:iCs/>
              </w:rPr>
            </w:pPr>
            <w:r>
              <w:rPr>
                <w:iCs/>
              </w:rPr>
              <w:t>1 pc</w:t>
            </w:r>
          </w:p>
        </w:tc>
      </w:tr>
      <w:tr w:rsidR="00BF5A5C" w:rsidRPr="002A474A" w:rsidTr="00BF5A5C">
        <w:tc>
          <w:tcPr>
            <w:tcW w:w="656" w:type="dxa"/>
            <w:vAlign w:val="center"/>
          </w:tcPr>
          <w:p w:rsidR="00BF5A5C" w:rsidRPr="000B335F" w:rsidRDefault="00BF5A5C" w:rsidP="000B6113">
            <w:pPr>
              <w:jc w:val="center"/>
              <w:rPr>
                <w:iCs/>
              </w:rPr>
            </w:pPr>
            <w:r>
              <w:rPr>
                <w:iCs/>
              </w:rPr>
              <w:t>9</w:t>
            </w:r>
          </w:p>
        </w:tc>
        <w:tc>
          <w:tcPr>
            <w:tcW w:w="5722" w:type="dxa"/>
            <w:vAlign w:val="center"/>
          </w:tcPr>
          <w:p w:rsidR="00BF5A5C" w:rsidRPr="00DB73DC" w:rsidRDefault="00BF5A5C" w:rsidP="000B6113">
            <w:pPr>
              <w:rPr>
                <w:iCs/>
              </w:rPr>
            </w:pPr>
            <w:r>
              <w:rPr>
                <w:iCs/>
              </w:rPr>
              <w:t>M</w:t>
            </w:r>
            <w:r w:rsidRPr="00E1140A">
              <w:rPr>
                <w:iCs/>
              </w:rPr>
              <w:t>ud mixing system</w:t>
            </w:r>
            <w:r>
              <w:rPr>
                <w:iCs/>
              </w:rPr>
              <w:t xml:space="preserve"> (</w:t>
            </w:r>
            <w:r w:rsidRPr="00E1140A">
              <w:rPr>
                <w:iCs/>
              </w:rPr>
              <w:t>Vermeer MX 240</w:t>
            </w:r>
            <w:r>
              <w:rPr>
                <w:iCs/>
              </w:rPr>
              <w:t xml:space="preserve"> or equivalent)</w:t>
            </w:r>
          </w:p>
        </w:tc>
        <w:tc>
          <w:tcPr>
            <w:tcW w:w="1769" w:type="dxa"/>
            <w:vAlign w:val="center"/>
          </w:tcPr>
          <w:p w:rsidR="00BF5A5C" w:rsidRDefault="00BF5A5C" w:rsidP="000B6113">
            <w:pPr>
              <w:jc w:val="center"/>
              <w:rPr>
                <w:iCs/>
              </w:rPr>
            </w:pPr>
            <w:r>
              <w:rPr>
                <w:iCs/>
              </w:rPr>
              <w:t>1 pc</w:t>
            </w:r>
          </w:p>
        </w:tc>
      </w:tr>
      <w:tr w:rsidR="00BF5A5C" w:rsidRPr="002A474A" w:rsidTr="00BF5A5C">
        <w:tc>
          <w:tcPr>
            <w:tcW w:w="656" w:type="dxa"/>
            <w:vAlign w:val="center"/>
          </w:tcPr>
          <w:p w:rsidR="00BF5A5C" w:rsidRPr="000B335F" w:rsidRDefault="00BF5A5C" w:rsidP="000B6113">
            <w:pPr>
              <w:jc w:val="center"/>
              <w:rPr>
                <w:iCs/>
              </w:rPr>
            </w:pPr>
            <w:r>
              <w:rPr>
                <w:iCs/>
              </w:rPr>
              <w:t>10</w:t>
            </w:r>
          </w:p>
        </w:tc>
        <w:tc>
          <w:tcPr>
            <w:tcW w:w="5722" w:type="dxa"/>
            <w:vAlign w:val="center"/>
          </w:tcPr>
          <w:p w:rsidR="00BF5A5C" w:rsidRPr="00DB73DC" w:rsidRDefault="00BF5A5C" w:rsidP="000B6113">
            <w:pPr>
              <w:rPr>
                <w:iCs/>
              </w:rPr>
            </w:pPr>
            <w:r>
              <w:rPr>
                <w:iCs/>
              </w:rPr>
              <w:t>P</w:t>
            </w:r>
            <w:r w:rsidRPr="00E1140A">
              <w:rPr>
                <w:iCs/>
              </w:rPr>
              <w:t>ipe</w:t>
            </w:r>
            <w:r w:rsidRPr="000B55CA">
              <w:rPr>
                <w:iCs/>
              </w:rPr>
              <w:t>-</w:t>
            </w:r>
            <w:r w:rsidRPr="00E1140A">
              <w:rPr>
                <w:iCs/>
              </w:rPr>
              <w:t>laying crane</w:t>
            </w:r>
            <w:r>
              <w:rPr>
                <w:iCs/>
              </w:rPr>
              <w:t xml:space="preserve">, </w:t>
            </w:r>
            <w:r w:rsidRPr="00DB73DC">
              <w:rPr>
                <w:iCs/>
              </w:rPr>
              <w:t>at least 10 t</w:t>
            </w:r>
          </w:p>
        </w:tc>
        <w:tc>
          <w:tcPr>
            <w:tcW w:w="1769" w:type="dxa"/>
            <w:vAlign w:val="center"/>
          </w:tcPr>
          <w:p w:rsidR="00BF5A5C" w:rsidRDefault="00BF5A5C" w:rsidP="000B6113">
            <w:pPr>
              <w:jc w:val="center"/>
              <w:rPr>
                <w:iCs/>
              </w:rPr>
            </w:pPr>
            <w:r>
              <w:rPr>
                <w:iCs/>
              </w:rPr>
              <w:t>1 pc</w:t>
            </w:r>
          </w:p>
        </w:tc>
      </w:tr>
    </w:tbl>
    <w:p w:rsidR="00BF5A5C" w:rsidRDefault="00BF5A5C" w:rsidP="00262285">
      <w:pPr>
        <w:tabs>
          <w:tab w:val="left" w:pos="-720"/>
        </w:tabs>
        <w:suppressAutoHyphens/>
        <w:spacing w:after="200"/>
        <w:rPr>
          <w:spacing w:val="-3"/>
        </w:rPr>
      </w:pPr>
    </w:p>
    <w:p w:rsidR="007E0164" w:rsidRDefault="007E0164" w:rsidP="007E0164">
      <w:pPr>
        <w:tabs>
          <w:tab w:val="left" w:pos="-720"/>
        </w:tabs>
        <w:suppressAutoHyphens/>
        <w:spacing w:after="120"/>
        <w:rPr>
          <w:spacing w:val="-3"/>
        </w:rPr>
      </w:pPr>
      <w:r w:rsidRPr="007E0164">
        <w:rPr>
          <w:spacing w:val="-3"/>
        </w:rPr>
        <w:t xml:space="preserve">Qualification of </w:t>
      </w:r>
      <w:r w:rsidR="006D39B2">
        <w:rPr>
          <w:spacing w:val="-3"/>
        </w:rPr>
        <w:t xml:space="preserve">any </w:t>
      </w:r>
      <w:r w:rsidRPr="007E0164">
        <w:rPr>
          <w:spacing w:val="-3"/>
        </w:rPr>
        <w:t xml:space="preserve">Subcontractors (if proposed by the Bidder) will not be taken into account </w:t>
      </w:r>
      <w:r>
        <w:rPr>
          <w:spacing w:val="-3"/>
        </w:rPr>
        <w:t>during</w:t>
      </w:r>
      <w:r w:rsidRPr="007E0164">
        <w:rPr>
          <w:spacing w:val="-3"/>
        </w:rPr>
        <w:t xml:space="preserve"> evaluation of the Bidder’s qualification.</w:t>
      </w:r>
    </w:p>
    <w:p w:rsidR="00D45EB5" w:rsidRDefault="007E0164" w:rsidP="007E0164">
      <w:pPr>
        <w:tabs>
          <w:tab w:val="left" w:pos="-720"/>
        </w:tabs>
        <w:suppressAutoHyphens/>
        <w:spacing w:after="120"/>
        <w:rPr>
          <w:spacing w:val="-3"/>
        </w:rPr>
      </w:pPr>
      <w:r w:rsidRPr="007E0164">
        <w:rPr>
          <w:spacing w:val="-3"/>
        </w:rPr>
        <w:t>A margin of preference for eligible national contractors/joint ventures shall not be applied.</w:t>
      </w:r>
      <w:r>
        <w:rPr>
          <w:spacing w:val="-3"/>
        </w:rPr>
        <w:t xml:space="preserve"> </w:t>
      </w:r>
    </w:p>
    <w:p w:rsidR="007E0164" w:rsidRDefault="007E0164" w:rsidP="00D45EB5">
      <w:pPr>
        <w:tabs>
          <w:tab w:val="left" w:pos="-720"/>
        </w:tabs>
        <w:suppressAutoHyphens/>
        <w:spacing w:after="200"/>
        <w:rPr>
          <w:spacing w:val="-3"/>
        </w:rPr>
      </w:pPr>
      <w:r w:rsidRPr="007E0164">
        <w:rPr>
          <w:spacing w:val="-3"/>
        </w:rPr>
        <w:t>Further details are p</w:t>
      </w:r>
      <w:r w:rsidR="00D45EB5">
        <w:rPr>
          <w:spacing w:val="-3"/>
        </w:rPr>
        <w:t>rovided in the Bidding Document.</w:t>
      </w:r>
    </w:p>
    <w:p w:rsidR="00F82EDE" w:rsidRPr="002A6B55" w:rsidRDefault="00F82EDE" w:rsidP="00F82EDE">
      <w:pPr>
        <w:tabs>
          <w:tab w:val="left" w:pos="-720"/>
        </w:tabs>
        <w:suppressAutoHyphens/>
        <w:spacing w:after="200"/>
        <w:rPr>
          <w:spacing w:val="-3"/>
        </w:rPr>
      </w:pPr>
      <w:r>
        <w:rPr>
          <w:spacing w:val="-3"/>
        </w:rPr>
        <w:t>4</w:t>
      </w:r>
      <w:r w:rsidR="00FA54E8" w:rsidRPr="001F1AED">
        <w:rPr>
          <w:spacing w:val="-3"/>
        </w:rPr>
        <w:t>.</w:t>
      </w:r>
      <w:r w:rsidR="00FA54E8" w:rsidRPr="001F1AED">
        <w:rPr>
          <w:spacing w:val="-3"/>
        </w:rPr>
        <w:tab/>
      </w:r>
      <w:r w:rsidRPr="002A6B55">
        <w:rPr>
          <w:spacing w:val="-3"/>
        </w:rPr>
        <w:t>Bidding will be conducted through the International Competitive Bidding</w:t>
      </w:r>
      <w:r>
        <w:rPr>
          <w:spacing w:val="-3"/>
        </w:rPr>
        <w:t xml:space="preserve"> </w:t>
      </w:r>
      <w:r w:rsidRPr="002A6B55">
        <w:rPr>
          <w:spacing w:val="-3"/>
        </w:rPr>
        <w:t>procedures as specified in the World Bank's Guidelines: Procurement of Goods, Works and Non-Consulting Services under IBRD Loans</w:t>
      </w:r>
      <w:r>
        <w:rPr>
          <w:spacing w:val="-3"/>
        </w:rPr>
        <w:t xml:space="preserve"> </w:t>
      </w:r>
      <w:r w:rsidRPr="002A6B55">
        <w:rPr>
          <w:spacing w:val="-3"/>
        </w:rPr>
        <w:t>and IDA</w:t>
      </w:r>
      <w:r>
        <w:rPr>
          <w:spacing w:val="-3"/>
        </w:rPr>
        <w:t xml:space="preserve"> </w:t>
      </w:r>
      <w:r w:rsidRPr="002A6B55">
        <w:rPr>
          <w:spacing w:val="-3"/>
        </w:rPr>
        <w:t>Credits</w:t>
      </w:r>
      <w:r>
        <w:rPr>
          <w:spacing w:val="-3"/>
        </w:rPr>
        <w:t xml:space="preserve"> </w:t>
      </w:r>
      <w:r w:rsidRPr="002A6B55">
        <w:rPr>
          <w:spacing w:val="-3"/>
        </w:rPr>
        <w:t>&amp; Grants by World Bank Borrowers, dated January 2011 as revised through July 2014 Corrigenda ("Procurement</w:t>
      </w:r>
      <w:r>
        <w:rPr>
          <w:spacing w:val="-3"/>
        </w:rPr>
        <w:t xml:space="preserve"> </w:t>
      </w:r>
      <w:r w:rsidRPr="002A6B55">
        <w:rPr>
          <w:spacing w:val="-3"/>
        </w:rPr>
        <w:t>Guidelines"), and is open to all eligible bidders as defined in the Procurement Guidelines.</w:t>
      </w:r>
      <w:r>
        <w:rPr>
          <w:spacing w:val="-3"/>
        </w:rPr>
        <w:t xml:space="preserve"> </w:t>
      </w:r>
      <w:r w:rsidRPr="002A6B55">
        <w:rPr>
          <w:spacing w:val="-3"/>
        </w:rPr>
        <w:t>In addition, please refer to paragraphs</w:t>
      </w:r>
      <w:r>
        <w:rPr>
          <w:spacing w:val="-3"/>
        </w:rPr>
        <w:t xml:space="preserve"> </w:t>
      </w:r>
      <w:r w:rsidRPr="002A6B55">
        <w:rPr>
          <w:spacing w:val="-3"/>
        </w:rPr>
        <w:t>1.6 and 1.7 setting forth the</w:t>
      </w:r>
      <w:r>
        <w:rPr>
          <w:spacing w:val="-3"/>
        </w:rPr>
        <w:t xml:space="preserve"> </w:t>
      </w:r>
      <w:r w:rsidRPr="002A6B55">
        <w:rPr>
          <w:spacing w:val="-3"/>
        </w:rPr>
        <w:t>World Bank's policy on conflict of interest.</w:t>
      </w:r>
    </w:p>
    <w:p w:rsidR="004013C1" w:rsidRDefault="00F82EDE" w:rsidP="00FA54E8">
      <w:pPr>
        <w:tabs>
          <w:tab w:val="left" w:pos="-720"/>
        </w:tabs>
        <w:suppressAutoHyphens/>
        <w:spacing w:after="200"/>
        <w:rPr>
          <w:spacing w:val="-3"/>
        </w:rPr>
      </w:pPr>
      <w:r>
        <w:rPr>
          <w:spacing w:val="-3"/>
        </w:rPr>
        <w:t>5.</w:t>
      </w:r>
      <w:r>
        <w:rPr>
          <w:spacing w:val="-3"/>
        </w:rPr>
        <w:tab/>
      </w:r>
      <w:r w:rsidR="00FA54E8" w:rsidRPr="001F1AED">
        <w:rPr>
          <w:spacing w:val="-3"/>
        </w:rPr>
        <w:t xml:space="preserve">Interested eligible </w:t>
      </w:r>
      <w:r w:rsidR="00FA54E8" w:rsidRPr="004013C1">
        <w:rPr>
          <w:spacing w:val="-3"/>
        </w:rPr>
        <w:t xml:space="preserve">bidders may obtain further information from </w:t>
      </w:r>
      <w:r w:rsidR="004013C1" w:rsidRPr="00C1724E">
        <w:rPr>
          <w:u w:val="single"/>
        </w:rPr>
        <w:t>Utility Company “</w:t>
      </w:r>
      <w:proofErr w:type="spellStart"/>
      <w:r w:rsidR="004013C1" w:rsidRPr="00C1724E">
        <w:rPr>
          <w:u w:val="single"/>
        </w:rPr>
        <w:t>Vinnytsiaoblvodokanal</w:t>
      </w:r>
      <w:proofErr w:type="spellEnd"/>
      <w:r w:rsidR="004013C1" w:rsidRPr="00C1724E">
        <w:rPr>
          <w:u w:val="single"/>
        </w:rPr>
        <w:t xml:space="preserve">”, Mrs. </w:t>
      </w:r>
      <w:proofErr w:type="spellStart"/>
      <w:r w:rsidR="004013C1" w:rsidRPr="00C1724E">
        <w:rPr>
          <w:u w:val="single"/>
        </w:rPr>
        <w:t>Larysa</w:t>
      </w:r>
      <w:proofErr w:type="spellEnd"/>
      <w:r w:rsidR="004013C1" w:rsidRPr="00C1724E">
        <w:rPr>
          <w:u w:val="single"/>
        </w:rPr>
        <w:t xml:space="preserve"> </w:t>
      </w:r>
      <w:proofErr w:type="spellStart"/>
      <w:r w:rsidR="004013C1" w:rsidRPr="00C1724E">
        <w:rPr>
          <w:u w:val="single"/>
        </w:rPr>
        <w:t>Korol</w:t>
      </w:r>
      <w:proofErr w:type="spellEnd"/>
      <w:r w:rsidR="004013C1" w:rsidRPr="00C1724E">
        <w:rPr>
          <w:u w:val="single"/>
        </w:rPr>
        <w:t xml:space="preserve">, </w:t>
      </w:r>
      <w:r w:rsidR="005E4C34">
        <w:rPr>
          <w:u w:val="single"/>
        </w:rPr>
        <w:t xml:space="preserve">Procurement Specialist, </w:t>
      </w:r>
      <w:r w:rsidR="005E4C34" w:rsidRPr="005E4C34">
        <w:rPr>
          <w:u w:val="single"/>
        </w:rPr>
        <w:t xml:space="preserve">telephone: </w:t>
      </w:r>
      <w:r w:rsidR="005E4C34">
        <w:rPr>
          <w:u w:val="single"/>
        </w:rPr>
        <w:t>+380 432 </w:t>
      </w:r>
      <w:r w:rsidR="005E4C34" w:rsidRPr="005E4C34">
        <w:rPr>
          <w:u w:val="single"/>
        </w:rPr>
        <w:t xml:space="preserve">53-73-98, facsimile number: </w:t>
      </w:r>
      <w:r w:rsidR="005E4C34">
        <w:rPr>
          <w:u w:val="single"/>
        </w:rPr>
        <w:t>+380 432 </w:t>
      </w:r>
      <w:r w:rsidR="005E4C34" w:rsidRPr="005E4C34">
        <w:rPr>
          <w:u w:val="single"/>
        </w:rPr>
        <w:t xml:space="preserve">53-73-98, </w:t>
      </w:r>
      <w:r w:rsidR="004013C1" w:rsidRPr="00C1724E">
        <w:rPr>
          <w:u w:val="single"/>
        </w:rPr>
        <w:t xml:space="preserve">e-mail: </w:t>
      </w:r>
      <w:hyperlink r:id="rId7" w:history="1">
        <w:r w:rsidR="004013C1" w:rsidRPr="00C1724E">
          <w:rPr>
            <w:rStyle w:val="ab"/>
          </w:rPr>
          <w:t>rgup@vinvk.com.ua</w:t>
        </w:r>
      </w:hyperlink>
      <w:r w:rsidR="004013C1" w:rsidRPr="00C1724E">
        <w:rPr>
          <w:u w:val="single"/>
        </w:rPr>
        <w:t xml:space="preserve"> (with mandatory copy to </w:t>
      </w:r>
      <w:hyperlink r:id="rId8" w:history="1">
        <w:r w:rsidR="004013C1" w:rsidRPr="00C1724E">
          <w:rPr>
            <w:rStyle w:val="ab"/>
          </w:rPr>
          <w:t>suiphead@gmail.com</w:t>
        </w:r>
      </w:hyperlink>
      <w:r w:rsidR="004013C1" w:rsidRPr="00C1724E">
        <w:rPr>
          <w:u w:val="single"/>
        </w:rPr>
        <w:t>)</w:t>
      </w:r>
      <w:r w:rsidR="00493623">
        <w:t>,</w:t>
      </w:r>
      <w:r w:rsidR="004013C1" w:rsidRPr="004013C1">
        <w:t xml:space="preserve"> </w:t>
      </w:r>
      <w:r w:rsidR="00FA54E8" w:rsidRPr="004013C1">
        <w:rPr>
          <w:spacing w:val="-3"/>
        </w:rPr>
        <w:t xml:space="preserve">and inspect the bidding documents </w:t>
      </w:r>
      <w:r w:rsidR="004013C1" w:rsidRPr="00C1724E">
        <w:rPr>
          <w:spacing w:val="-3"/>
          <w:u w:val="single"/>
        </w:rPr>
        <w:t xml:space="preserve">in the </w:t>
      </w:r>
      <w:r w:rsidR="005E4C34">
        <w:rPr>
          <w:spacing w:val="-3"/>
          <w:u w:val="single"/>
        </w:rPr>
        <w:t xml:space="preserve">Utility </w:t>
      </w:r>
      <w:r w:rsidR="004013C1" w:rsidRPr="00C1724E">
        <w:rPr>
          <w:spacing w:val="-3"/>
          <w:u w:val="single"/>
        </w:rPr>
        <w:t xml:space="preserve">Company's premises during office hours from 08:00 to 17:00 local time at the </w:t>
      </w:r>
      <w:r w:rsidR="00B7349A" w:rsidRPr="00C1724E">
        <w:rPr>
          <w:spacing w:val="-3"/>
          <w:u w:val="single"/>
        </w:rPr>
        <w:t>A</w:t>
      </w:r>
      <w:r w:rsidR="004013C1" w:rsidRPr="00C1724E">
        <w:rPr>
          <w:spacing w:val="-3"/>
          <w:u w:val="single"/>
        </w:rPr>
        <w:t>ddress (1) given below</w:t>
      </w:r>
      <w:r w:rsidR="004013C1" w:rsidRPr="004013C1">
        <w:rPr>
          <w:spacing w:val="-3"/>
        </w:rPr>
        <w:t>.</w:t>
      </w:r>
    </w:p>
    <w:p w:rsidR="00FA54E8" w:rsidRPr="001F1AED" w:rsidRDefault="00F82EDE" w:rsidP="00FA54E8">
      <w:pPr>
        <w:tabs>
          <w:tab w:val="left" w:pos="-720"/>
        </w:tabs>
        <w:suppressAutoHyphens/>
        <w:spacing w:after="200"/>
        <w:rPr>
          <w:spacing w:val="-3"/>
        </w:rPr>
      </w:pPr>
      <w:r>
        <w:rPr>
          <w:spacing w:val="-3"/>
        </w:rPr>
        <w:t>6</w:t>
      </w:r>
      <w:r w:rsidR="00FA54E8" w:rsidRPr="001F1AED">
        <w:rPr>
          <w:spacing w:val="-3"/>
        </w:rPr>
        <w:t>.</w:t>
      </w:r>
      <w:r w:rsidR="00FA54E8" w:rsidRPr="001F1AED">
        <w:rPr>
          <w:spacing w:val="-3"/>
        </w:rPr>
        <w:tab/>
        <w:t xml:space="preserve">A complete set of bidding documents </w:t>
      </w:r>
      <w:r w:rsidR="004013C1">
        <w:rPr>
          <w:spacing w:val="-3"/>
        </w:rPr>
        <w:t xml:space="preserve">in English language </w:t>
      </w:r>
      <w:r w:rsidR="00FA54E8" w:rsidRPr="001F1AED">
        <w:rPr>
          <w:spacing w:val="-3"/>
        </w:rPr>
        <w:t xml:space="preserve">may be purchased by interested </w:t>
      </w:r>
      <w:r w:rsidR="005E4C34">
        <w:rPr>
          <w:spacing w:val="-3"/>
        </w:rPr>
        <w:t xml:space="preserve">eligible </w:t>
      </w:r>
      <w:r w:rsidR="00FA54E8" w:rsidRPr="001F1AED">
        <w:rPr>
          <w:spacing w:val="-3"/>
        </w:rPr>
        <w:t xml:space="preserve">bidders </w:t>
      </w:r>
      <w:r w:rsidR="005E4C34">
        <w:rPr>
          <w:spacing w:val="-3"/>
        </w:rPr>
        <w:t>upon</w:t>
      </w:r>
      <w:r w:rsidR="00FA54E8" w:rsidRPr="001F1AED">
        <w:rPr>
          <w:spacing w:val="-3"/>
        </w:rPr>
        <w:t xml:space="preserve"> the submission of a written application to the </w:t>
      </w:r>
      <w:r w:rsidR="005E4C34">
        <w:rPr>
          <w:spacing w:val="-3"/>
        </w:rPr>
        <w:t>Address (1) below</w:t>
      </w:r>
      <w:r w:rsidR="00FA54E8" w:rsidRPr="001F1AED">
        <w:rPr>
          <w:spacing w:val="-3"/>
        </w:rPr>
        <w:t xml:space="preserve"> and payment of a non-refundable fee of </w:t>
      </w:r>
      <w:r w:rsidR="004013C1" w:rsidRPr="00C1724E">
        <w:rPr>
          <w:spacing w:val="-3"/>
          <w:u w:val="single"/>
        </w:rPr>
        <w:t xml:space="preserve">UAH </w:t>
      </w:r>
      <w:r w:rsidR="00D40BDF">
        <w:rPr>
          <w:spacing w:val="-3"/>
          <w:u w:val="single"/>
        </w:rPr>
        <w:t xml:space="preserve">8 500 </w:t>
      </w:r>
      <w:r w:rsidR="004013C1" w:rsidRPr="00C1724E">
        <w:rPr>
          <w:spacing w:val="-3"/>
          <w:u w:val="single"/>
        </w:rPr>
        <w:t>(</w:t>
      </w:r>
      <w:r w:rsidR="00D40BDF">
        <w:rPr>
          <w:spacing w:val="-3"/>
          <w:u w:val="single"/>
        </w:rPr>
        <w:t>eight</w:t>
      </w:r>
      <w:r w:rsidR="00A4483B" w:rsidRPr="00A4483B">
        <w:rPr>
          <w:spacing w:val="-3"/>
          <w:u w:val="single"/>
        </w:rPr>
        <w:t xml:space="preserve"> thousand </w:t>
      </w:r>
      <w:r w:rsidR="00D40BDF">
        <w:rPr>
          <w:spacing w:val="-3"/>
          <w:u w:val="single"/>
        </w:rPr>
        <w:t>five</w:t>
      </w:r>
      <w:r w:rsidR="00A4483B" w:rsidRPr="00A4483B">
        <w:rPr>
          <w:spacing w:val="-3"/>
          <w:u w:val="single"/>
        </w:rPr>
        <w:t xml:space="preserve"> hundred </w:t>
      </w:r>
      <w:r w:rsidR="004013C1" w:rsidRPr="00C1724E">
        <w:rPr>
          <w:spacing w:val="-3"/>
          <w:u w:val="single"/>
        </w:rPr>
        <w:t xml:space="preserve">Ukrainian Hryvnia) or USD </w:t>
      </w:r>
      <w:r w:rsidR="00D40BDF">
        <w:rPr>
          <w:spacing w:val="-3"/>
          <w:u w:val="single"/>
        </w:rPr>
        <w:t>330</w:t>
      </w:r>
      <w:r w:rsidR="004013C1" w:rsidRPr="00C1724E">
        <w:rPr>
          <w:spacing w:val="-3"/>
          <w:u w:val="single"/>
        </w:rPr>
        <w:t xml:space="preserve"> (</w:t>
      </w:r>
      <w:r w:rsidR="00D40BDF">
        <w:rPr>
          <w:spacing w:val="-3"/>
          <w:u w:val="single"/>
        </w:rPr>
        <w:t>three hundred thirty</w:t>
      </w:r>
      <w:r w:rsidR="004013C1" w:rsidRPr="00C1724E">
        <w:rPr>
          <w:spacing w:val="-3"/>
          <w:u w:val="single"/>
        </w:rPr>
        <w:t xml:space="preserve"> US dollars)</w:t>
      </w:r>
      <w:r w:rsidR="00FA54E8" w:rsidRPr="004013C1">
        <w:rPr>
          <w:spacing w:val="-3"/>
        </w:rPr>
        <w:t>.</w:t>
      </w:r>
      <w:r w:rsidR="004013C1">
        <w:rPr>
          <w:spacing w:val="-3"/>
        </w:rPr>
        <w:t xml:space="preserve"> </w:t>
      </w:r>
      <w:r w:rsidR="004013C1" w:rsidRPr="004013C1">
        <w:rPr>
          <w:spacing w:val="-3"/>
        </w:rPr>
        <w:t>The method of payment will be</w:t>
      </w:r>
      <w:r w:rsidR="004013C1">
        <w:rPr>
          <w:spacing w:val="-3"/>
        </w:rPr>
        <w:t xml:space="preserve"> </w:t>
      </w:r>
      <w:r w:rsidR="004013C1" w:rsidRPr="004013C1">
        <w:rPr>
          <w:spacing w:val="-3"/>
        </w:rPr>
        <w:t xml:space="preserve">banking transfer to the </w:t>
      </w:r>
      <w:r w:rsidR="00D40BDF">
        <w:rPr>
          <w:spacing w:val="-3"/>
        </w:rPr>
        <w:t xml:space="preserve">bank </w:t>
      </w:r>
      <w:r w:rsidR="004013C1" w:rsidRPr="004013C1">
        <w:rPr>
          <w:spacing w:val="-3"/>
        </w:rPr>
        <w:t xml:space="preserve">account indicated below. The document will be sent by airmail for overseas delivery and surface mail or courier for local inland delivery or can be picked from the </w:t>
      </w:r>
      <w:r w:rsidR="00B7349A">
        <w:rPr>
          <w:spacing w:val="-3"/>
        </w:rPr>
        <w:t>A</w:t>
      </w:r>
      <w:r w:rsidR="004013C1" w:rsidRPr="004013C1">
        <w:rPr>
          <w:spacing w:val="-3"/>
        </w:rPr>
        <w:t>ddress (1) below.</w:t>
      </w:r>
    </w:p>
    <w:p w:rsidR="00FA54E8" w:rsidRPr="001F1AED" w:rsidRDefault="00D40BDF" w:rsidP="00FA54E8">
      <w:pPr>
        <w:tabs>
          <w:tab w:val="left" w:pos="-720"/>
        </w:tabs>
        <w:suppressAutoHyphens/>
        <w:spacing w:after="200"/>
        <w:rPr>
          <w:spacing w:val="-3"/>
        </w:rPr>
      </w:pPr>
      <w:r>
        <w:rPr>
          <w:spacing w:val="-3"/>
        </w:rPr>
        <w:t>7</w:t>
      </w:r>
      <w:r w:rsidR="00FA54E8" w:rsidRPr="001F1AED">
        <w:rPr>
          <w:spacing w:val="-3"/>
        </w:rPr>
        <w:t>.</w:t>
      </w:r>
      <w:r w:rsidR="00FA54E8" w:rsidRPr="001F1AED">
        <w:rPr>
          <w:spacing w:val="-3"/>
        </w:rPr>
        <w:tab/>
        <w:t xml:space="preserve">The provisions in the Instructions to Bidders and in the General Conditions of Contract are the provisions of the Bank </w:t>
      </w:r>
      <w:r w:rsidR="004013C1" w:rsidRPr="006D64CE">
        <w:rPr>
          <w:spacing w:val="-3"/>
        </w:rPr>
        <w:t>Standard Bidding Document</w:t>
      </w:r>
      <w:r w:rsidR="00296971">
        <w:rPr>
          <w:spacing w:val="-3"/>
        </w:rPr>
        <w:t xml:space="preserve"> for </w:t>
      </w:r>
      <w:r w:rsidR="00FA54E8" w:rsidRPr="006D64CE">
        <w:rPr>
          <w:spacing w:val="-3"/>
        </w:rPr>
        <w:t xml:space="preserve">Procurement of </w:t>
      </w:r>
      <w:r w:rsidR="00296971">
        <w:rPr>
          <w:spacing w:val="-3"/>
        </w:rPr>
        <w:t>Small Works, April 2015 revision (incorporating January, 2017 updates</w:t>
      </w:r>
      <w:r w:rsidR="00296971" w:rsidRPr="00296971">
        <w:rPr>
          <w:spacing w:val="-3"/>
        </w:rPr>
        <w:t xml:space="preserve"> to enhance environmental, social, health and safety performance</w:t>
      </w:r>
      <w:r w:rsidR="00296971">
        <w:rPr>
          <w:spacing w:val="-3"/>
        </w:rPr>
        <w:t>)</w:t>
      </w:r>
      <w:r w:rsidR="004013C1" w:rsidRPr="006D64CE">
        <w:rPr>
          <w:spacing w:val="-3"/>
        </w:rPr>
        <w:t>.</w:t>
      </w:r>
    </w:p>
    <w:p w:rsidR="00900D3C" w:rsidRDefault="00D40BDF" w:rsidP="0062140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3"/>
        </w:rPr>
      </w:pPr>
      <w:r>
        <w:rPr>
          <w:spacing w:val="-3"/>
        </w:rPr>
        <w:t>8</w:t>
      </w:r>
      <w:r w:rsidR="00FA54E8" w:rsidRPr="001F1AED">
        <w:rPr>
          <w:spacing w:val="-3"/>
        </w:rPr>
        <w:t>.</w:t>
      </w:r>
      <w:r w:rsidR="00FA54E8" w:rsidRPr="001F1AED">
        <w:rPr>
          <w:spacing w:val="-3"/>
        </w:rPr>
        <w:tab/>
        <w:t xml:space="preserve">Bids must be delivered to </w:t>
      </w:r>
      <w:r w:rsidR="00B7349A">
        <w:rPr>
          <w:spacing w:val="-3"/>
        </w:rPr>
        <w:t>A</w:t>
      </w:r>
      <w:r w:rsidR="00C015AC" w:rsidRPr="00C015AC">
        <w:rPr>
          <w:spacing w:val="-3"/>
        </w:rPr>
        <w:t>ddress</w:t>
      </w:r>
      <w:r w:rsidR="00C015AC">
        <w:rPr>
          <w:spacing w:val="-3"/>
        </w:rPr>
        <w:t xml:space="preserve"> </w:t>
      </w:r>
      <w:r w:rsidR="00C015AC" w:rsidRPr="00C015AC">
        <w:rPr>
          <w:spacing w:val="-3"/>
        </w:rPr>
        <w:t xml:space="preserve">(1) </w:t>
      </w:r>
      <w:r w:rsidR="00900D3C">
        <w:rPr>
          <w:spacing w:val="-3"/>
        </w:rPr>
        <w:t>below</w:t>
      </w:r>
      <w:r w:rsidR="00FA54E8" w:rsidRPr="001F1AED">
        <w:rPr>
          <w:spacing w:val="-3"/>
        </w:rPr>
        <w:t xml:space="preserve"> before </w:t>
      </w:r>
      <w:r w:rsidR="006D64CE" w:rsidRPr="006D64CE">
        <w:rPr>
          <w:spacing w:val="-3"/>
          <w:u w:val="single"/>
        </w:rPr>
        <w:t xml:space="preserve">12:00 noon local </w:t>
      </w:r>
      <w:r w:rsidR="006D64CE" w:rsidRPr="002D733B">
        <w:rPr>
          <w:spacing w:val="-3"/>
          <w:u w:val="single"/>
        </w:rPr>
        <w:t>tim</w:t>
      </w:r>
      <w:r w:rsidR="00C31B7D">
        <w:rPr>
          <w:spacing w:val="-3"/>
          <w:u w:val="single"/>
        </w:rPr>
        <w:t xml:space="preserve">e </w:t>
      </w:r>
      <w:r w:rsidR="0045266F">
        <w:rPr>
          <w:spacing w:val="-3"/>
          <w:highlight w:val="yellow"/>
          <w:u w:val="single"/>
        </w:rPr>
        <w:t>November 7</w:t>
      </w:r>
      <w:r w:rsidR="00296971" w:rsidRPr="00DD0EE1">
        <w:rPr>
          <w:highlight w:val="yellow"/>
          <w:u w:val="single"/>
        </w:rPr>
        <w:t>,</w:t>
      </w:r>
      <w:r w:rsidR="006D64CE" w:rsidRPr="00DD0EE1">
        <w:rPr>
          <w:highlight w:val="yellow"/>
          <w:u w:val="single"/>
        </w:rPr>
        <w:t xml:space="preserve"> 2019</w:t>
      </w:r>
      <w:r w:rsidR="00900D3C" w:rsidRPr="00DD0EE1">
        <w:rPr>
          <w:spacing w:val="-3"/>
          <w:highlight w:val="yellow"/>
        </w:rPr>
        <w:t>.</w:t>
      </w:r>
      <w:r w:rsidR="00900D3C">
        <w:rPr>
          <w:spacing w:val="-3"/>
        </w:rPr>
        <w:t xml:space="preserve"> </w:t>
      </w:r>
      <w:r w:rsidR="00900D3C" w:rsidRPr="00900D3C">
        <w:rPr>
          <w:spacing w:val="-3"/>
        </w:rPr>
        <w:t xml:space="preserve">Electronic bidding will not be permitted. Late bids will be rejected. Bids will be publicly opened in the </w:t>
      </w:r>
      <w:r w:rsidR="00900D3C" w:rsidRPr="00900D3C">
        <w:rPr>
          <w:spacing w:val="-3"/>
        </w:rPr>
        <w:lastRenderedPageBreak/>
        <w:t xml:space="preserve">presence of the bidders’ designated representatives and anyone who choose to attend at the Address </w:t>
      </w:r>
      <w:r w:rsidR="00900D3C">
        <w:rPr>
          <w:spacing w:val="-3"/>
        </w:rPr>
        <w:t xml:space="preserve">(2) below at </w:t>
      </w:r>
      <w:r w:rsidR="00900D3C" w:rsidRPr="006D64CE">
        <w:rPr>
          <w:spacing w:val="-3"/>
          <w:u w:val="single"/>
        </w:rPr>
        <w:t xml:space="preserve">12:00 noon local </w:t>
      </w:r>
      <w:r w:rsidR="00900D3C" w:rsidRPr="002D733B">
        <w:rPr>
          <w:spacing w:val="-3"/>
          <w:u w:val="single"/>
        </w:rPr>
        <w:t>tim</w:t>
      </w:r>
      <w:r w:rsidR="00CD1DEF">
        <w:rPr>
          <w:spacing w:val="-3"/>
          <w:u w:val="single"/>
        </w:rPr>
        <w:t xml:space="preserve">e </w:t>
      </w:r>
      <w:r w:rsidR="0045266F">
        <w:rPr>
          <w:highlight w:val="yellow"/>
          <w:u w:val="single"/>
        </w:rPr>
        <w:t>November 7</w:t>
      </w:r>
      <w:r w:rsidR="00900D3C" w:rsidRPr="00DD0EE1">
        <w:rPr>
          <w:highlight w:val="yellow"/>
          <w:u w:val="single"/>
        </w:rPr>
        <w:t>, 2019.</w:t>
      </w:r>
    </w:p>
    <w:p w:rsidR="00FA54E8" w:rsidRPr="006D64CE" w:rsidRDefault="0005436F" w:rsidP="0062140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 w:val="20"/>
          <w:u w:val="single"/>
        </w:rPr>
      </w:pPr>
      <w:r>
        <w:rPr>
          <w:spacing w:val="-3"/>
        </w:rPr>
        <w:t>9.</w:t>
      </w:r>
      <w:r>
        <w:rPr>
          <w:spacing w:val="-3"/>
        </w:rPr>
        <w:tab/>
        <w:t xml:space="preserve">All bids </w:t>
      </w:r>
      <w:r w:rsidR="00FA54E8" w:rsidRPr="001F1AED">
        <w:rPr>
          <w:spacing w:val="-3"/>
        </w:rPr>
        <w:t xml:space="preserve">must be accompanied by a </w:t>
      </w:r>
      <w:r>
        <w:rPr>
          <w:spacing w:val="-3"/>
        </w:rPr>
        <w:t>Bid Se</w:t>
      </w:r>
      <w:r w:rsidR="00FA54E8" w:rsidRPr="001F1AED">
        <w:rPr>
          <w:spacing w:val="-3"/>
        </w:rPr>
        <w:t xml:space="preserve">curity of </w:t>
      </w:r>
      <w:r>
        <w:rPr>
          <w:spacing w:val="-3"/>
          <w:u w:val="single"/>
        </w:rPr>
        <w:t>US$ 1</w:t>
      </w:r>
      <w:r w:rsidR="006D64CE" w:rsidRPr="000820A5">
        <w:rPr>
          <w:spacing w:val="-3"/>
          <w:u w:val="single"/>
        </w:rPr>
        <w:t>00,000 (</w:t>
      </w:r>
      <w:r>
        <w:rPr>
          <w:spacing w:val="-3"/>
          <w:u w:val="single"/>
        </w:rPr>
        <w:t>one</w:t>
      </w:r>
      <w:r w:rsidR="006D64CE" w:rsidRPr="000820A5">
        <w:rPr>
          <w:spacing w:val="-3"/>
          <w:u w:val="single"/>
        </w:rPr>
        <w:t xml:space="preserve"> hundred thousand US dollars) or its equivalent in a freely convertible currency</w:t>
      </w:r>
      <w:r>
        <w:rPr>
          <w:spacing w:val="-3"/>
          <w:u w:val="single"/>
        </w:rPr>
        <w:t xml:space="preserve"> </w:t>
      </w:r>
      <w:r w:rsidRPr="0005436F">
        <w:rPr>
          <w:spacing w:val="-3"/>
          <w:u w:val="single"/>
        </w:rPr>
        <w:t>or in Ukrainian Hryvnia determined at the official rate(s) of the Ukrainian Hryvnia against foreign currencies established by the National Bank of Ukraine (www.bank.gov.ua) on the date twenty-eight (28) days prior to the bid submission deadline</w:t>
      </w:r>
      <w:r w:rsidR="006D64CE">
        <w:rPr>
          <w:spacing w:val="-3"/>
        </w:rPr>
        <w:t>.</w:t>
      </w:r>
    </w:p>
    <w:p w:rsidR="00FB48FB" w:rsidRDefault="0005436F" w:rsidP="00FB48FB">
      <w:pPr>
        <w:tabs>
          <w:tab w:val="left" w:pos="-720"/>
        </w:tabs>
        <w:suppressAutoHyphens/>
        <w:spacing w:after="200"/>
      </w:pPr>
      <w:r>
        <w:t>10</w:t>
      </w:r>
      <w:r w:rsidR="00FB48FB" w:rsidRPr="001F1AED">
        <w:t>.</w:t>
      </w:r>
      <w:r w:rsidR="00FB48FB" w:rsidRPr="001F1AED">
        <w:tab/>
      </w:r>
      <w:r w:rsidR="00FB48FB">
        <w:t>T</w:t>
      </w:r>
      <w:r w:rsidR="00FB48FB" w:rsidRPr="00FB48FB">
        <w:t>he addresses referred to above are:</w:t>
      </w:r>
    </w:p>
    <w:p w:rsidR="00761D87" w:rsidRP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b/>
          <w:spacing w:val="-3"/>
        </w:rPr>
      </w:pPr>
      <w:r w:rsidRPr="00761D87">
        <w:rPr>
          <w:b/>
          <w:spacing w:val="-3"/>
        </w:rPr>
        <w:t xml:space="preserve">Address (1): </w:t>
      </w:r>
    </w:p>
    <w:p w:rsidR="00761D87" w:rsidRPr="00311AB3"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b/>
          <w:spacing w:val="-3"/>
        </w:rPr>
      </w:pPr>
      <w:r w:rsidRPr="00311AB3">
        <w:rPr>
          <w:b/>
          <w:spacing w:val="-3"/>
        </w:rPr>
        <w:t>Utility Company “</w:t>
      </w:r>
      <w:proofErr w:type="spellStart"/>
      <w:r w:rsidRPr="00311AB3">
        <w:rPr>
          <w:b/>
          <w:spacing w:val="-3"/>
        </w:rPr>
        <w:t>Vinnytsiaoblvodokanal</w:t>
      </w:r>
      <w:proofErr w:type="spellEnd"/>
      <w:r w:rsidRPr="00311AB3">
        <w:rPr>
          <w:b/>
          <w:spacing w:val="-3"/>
        </w:rPr>
        <w:t xml:space="preserve">” </w:t>
      </w:r>
    </w:p>
    <w:p w:rsidR="00974468" w:rsidRDefault="00761D87" w:rsidP="0097446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u w:val="single"/>
        </w:rPr>
      </w:pPr>
      <w:r w:rsidRPr="00761D87">
        <w:rPr>
          <w:spacing w:val="-3"/>
        </w:rPr>
        <w:t xml:space="preserve">Street </w:t>
      </w:r>
      <w:r w:rsidR="00B7349A">
        <w:rPr>
          <w:spacing w:val="-3"/>
        </w:rPr>
        <w:t>a</w:t>
      </w:r>
      <w:r w:rsidRPr="00761D87">
        <w:rPr>
          <w:spacing w:val="-3"/>
        </w:rPr>
        <w:t>ddress: </w:t>
      </w:r>
      <w:r w:rsidRPr="00311AB3">
        <w:rPr>
          <w:spacing w:val="-3"/>
          <w:u w:val="single"/>
        </w:rPr>
        <w:t xml:space="preserve">173 </w:t>
      </w:r>
      <w:proofErr w:type="spellStart"/>
      <w:r w:rsidRPr="00311AB3">
        <w:rPr>
          <w:spacing w:val="-3"/>
          <w:u w:val="single"/>
        </w:rPr>
        <w:t>Kyivska</w:t>
      </w:r>
      <w:proofErr w:type="spellEnd"/>
      <w:r w:rsidRPr="00311AB3">
        <w:rPr>
          <w:spacing w:val="-3"/>
          <w:u w:val="single"/>
        </w:rPr>
        <w:t xml:space="preserve"> str.</w:t>
      </w:r>
    </w:p>
    <w:p w:rsidR="00974468" w:rsidRPr="00974468" w:rsidRDefault="00974468" w:rsidP="0097446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AD4E9A">
        <w:t xml:space="preserve">Floor/Room number: </w:t>
      </w:r>
      <w:r w:rsidRPr="00AD4E9A">
        <w:rPr>
          <w:u w:val="single"/>
        </w:rPr>
        <w:t>3rd Floor, Office 33</w:t>
      </w:r>
    </w:p>
    <w:p w:rsidR="00761D87" w:rsidRP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City: </w:t>
      </w:r>
      <w:proofErr w:type="spellStart"/>
      <w:r w:rsidRPr="00311AB3">
        <w:rPr>
          <w:spacing w:val="-3"/>
          <w:u w:val="single"/>
        </w:rPr>
        <w:t>Vinnytsia</w:t>
      </w:r>
      <w:proofErr w:type="spellEnd"/>
    </w:p>
    <w:p w:rsid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 xml:space="preserve">Postal Code: </w:t>
      </w:r>
      <w:r w:rsidRPr="00311AB3">
        <w:rPr>
          <w:spacing w:val="-3"/>
          <w:u w:val="single"/>
        </w:rPr>
        <w:t>21022</w:t>
      </w:r>
    </w:p>
    <w:p w:rsidR="00761D87" w:rsidRP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AD4E9A">
        <w:t xml:space="preserve">Country: </w:t>
      </w:r>
      <w:r w:rsidRPr="00AD4E9A">
        <w:rPr>
          <w:u w:val="single"/>
        </w:rPr>
        <w:t>Ukraine</w:t>
      </w:r>
    </w:p>
    <w:p w:rsidR="00761D87" w:rsidRP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Telephone: </w:t>
      </w:r>
      <w:r w:rsidRPr="00311AB3">
        <w:rPr>
          <w:spacing w:val="-3"/>
          <w:u w:val="single"/>
        </w:rPr>
        <w:t>+380 432 53-73-98</w:t>
      </w:r>
    </w:p>
    <w:p w:rsidR="00761D87" w:rsidRPr="00761D87" w:rsidRDefault="00761D87" w:rsidP="00761D87">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Facsimile number: </w:t>
      </w:r>
      <w:r w:rsidRPr="00311AB3">
        <w:rPr>
          <w:spacing w:val="-3"/>
          <w:u w:val="single"/>
        </w:rPr>
        <w:t>+380 432 53-73-98</w:t>
      </w:r>
    </w:p>
    <w:p w:rsidR="00761D87" w:rsidRPr="00761D87" w:rsidRDefault="00761D87"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rFonts w:ascii="Arial" w:hAnsi="Arial" w:cs="Arial"/>
          <w:sz w:val="20"/>
          <w:bdr w:val="none" w:sz="0" w:space="0" w:color="auto" w:frame="1"/>
          <w:lang w:val="uk-UA" w:eastAsia="uk-UA"/>
        </w:rPr>
      </w:pPr>
      <w:r w:rsidRPr="00761D87">
        <w:rPr>
          <w:spacing w:val="-3"/>
        </w:rPr>
        <w:t xml:space="preserve">Electronic mail address: </w:t>
      </w:r>
      <w:hyperlink r:id="rId9" w:history="1">
        <w:r w:rsidR="00311AB3" w:rsidRPr="000C0441">
          <w:rPr>
            <w:rStyle w:val="ab"/>
            <w:spacing w:val="-3"/>
          </w:rPr>
          <w:t>rgup@vinvk.com.ua</w:t>
        </w:r>
      </w:hyperlink>
      <w:r w:rsidR="00311AB3">
        <w:rPr>
          <w:spacing w:val="-3"/>
          <w:u w:val="single"/>
        </w:rPr>
        <w:t xml:space="preserve"> </w:t>
      </w:r>
      <w:r w:rsidRPr="00311AB3">
        <w:rPr>
          <w:spacing w:val="-3"/>
          <w:u w:val="single"/>
        </w:rPr>
        <w:t xml:space="preserve">with mandatory copy to </w:t>
      </w:r>
      <w:hyperlink r:id="rId10" w:history="1">
        <w:r w:rsidR="00311AB3" w:rsidRPr="000C0441">
          <w:rPr>
            <w:rStyle w:val="ab"/>
            <w:spacing w:val="-3"/>
          </w:rPr>
          <w:t>suiphead@gmail.com</w:t>
        </w:r>
      </w:hyperlink>
    </w:p>
    <w:p w:rsidR="00311AB3" w:rsidRPr="00761D87"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b/>
          <w:spacing w:val="-3"/>
        </w:rPr>
      </w:pPr>
      <w:r w:rsidRPr="00761D87">
        <w:rPr>
          <w:b/>
          <w:spacing w:val="-3"/>
        </w:rPr>
        <w:t>Address (</w:t>
      </w:r>
      <w:r>
        <w:rPr>
          <w:b/>
          <w:spacing w:val="-3"/>
        </w:rPr>
        <w:t>2</w:t>
      </w:r>
      <w:r w:rsidRPr="00761D87">
        <w:rPr>
          <w:b/>
          <w:spacing w:val="-3"/>
        </w:rPr>
        <w:t xml:space="preserve">): </w:t>
      </w:r>
    </w:p>
    <w:p w:rsidR="00311AB3" w:rsidRPr="00311AB3"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b/>
          <w:spacing w:val="-3"/>
        </w:rPr>
      </w:pPr>
      <w:r w:rsidRPr="00311AB3">
        <w:rPr>
          <w:b/>
          <w:spacing w:val="-3"/>
        </w:rPr>
        <w:t>Utility Company “</w:t>
      </w:r>
      <w:proofErr w:type="spellStart"/>
      <w:r w:rsidRPr="00311AB3">
        <w:rPr>
          <w:b/>
          <w:spacing w:val="-3"/>
        </w:rPr>
        <w:t>Vinnytsiaoblvodokanal</w:t>
      </w:r>
      <w:proofErr w:type="spellEnd"/>
      <w:r w:rsidRPr="00311AB3">
        <w:rPr>
          <w:b/>
          <w:spacing w:val="-3"/>
        </w:rPr>
        <w:t xml:space="preserve">” </w:t>
      </w:r>
    </w:p>
    <w:p w:rsidR="00311AB3" w:rsidRPr="00761D87"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 xml:space="preserve">Street </w:t>
      </w:r>
      <w:r w:rsidR="00B7349A">
        <w:rPr>
          <w:spacing w:val="-3"/>
        </w:rPr>
        <w:t>a</w:t>
      </w:r>
      <w:r w:rsidRPr="00761D87">
        <w:rPr>
          <w:spacing w:val="-3"/>
        </w:rPr>
        <w:t>ddress: </w:t>
      </w:r>
      <w:r w:rsidRPr="00311AB3">
        <w:rPr>
          <w:spacing w:val="-3"/>
          <w:u w:val="single"/>
        </w:rPr>
        <w:t xml:space="preserve">173 </w:t>
      </w:r>
      <w:proofErr w:type="spellStart"/>
      <w:r w:rsidRPr="00311AB3">
        <w:rPr>
          <w:spacing w:val="-3"/>
          <w:u w:val="single"/>
        </w:rPr>
        <w:t>Kyivska</w:t>
      </w:r>
      <w:proofErr w:type="spellEnd"/>
      <w:r w:rsidRPr="00311AB3">
        <w:rPr>
          <w:spacing w:val="-3"/>
          <w:u w:val="single"/>
        </w:rPr>
        <w:t xml:space="preserve"> str.</w:t>
      </w:r>
    </w:p>
    <w:p w:rsidR="00886E7D" w:rsidRDefault="008832C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pPr>
      <w:r w:rsidRPr="00AD4E9A">
        <w:t xml:space="preserve">Floor/Room number: </w:t>
      </w:r>
      <w:r w:rsidR="00BE24CC">
        <w:t>2</w:t>
      </w:r>
      <w:r w:rsidR="00BE24CC" w:rsidRPr="00BE24CC">
        <w:rPr>
          <w:vertAlign w:val="superscript"/>
        </w:rPr>
        <w:t>nd</w:t>
      </w:r>
      <w:r w:rsidR="00BE24CC">
        <w:t xml:space="preserve"> </w:t>
      </w:r>
      <w:r w:rsidR="0076214B" w:rsidRPr="00886E7D">
        <w:t>Floor</w:t>
      </w:r>
      <w:r w:rsidR="00BE24CC">
        <w:rPr>
          <w:lang w:val="uk-UA"/>
        </w:rPr>
        <w:t xml:space="preserve">, </w:t>
      </w:r>
      <w:r w:rsidR="00BE24CC" w:rsidRPr="00886E7D">
        <w:t>Conference H</w:t>
      </w:r>
      <w:r w:rsidR="00886E7D" w:rsidRPr="00886E7D">
        <w:t xml:space="preserve">all, </w:t>
      </w:r>
    </w:p>
    <w:p w:rsidR="00311AB3" w:rsidRPr="00761D87"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City: </w:t>
      </w:r>
      <w:proofErr w:type="spellStart"/>
      <w:r w:rsidRPr="00311AB3">
        <w:rPr>
          <w:spacing w:val="-3"/>
          <w:u w:val="single"/>
        </w:rPr>
        <w:t>Vinnytsia</w:t>
      </w:r>
      <w:proofErr w:type="spellEnd"/>
    </w:p>
    <w:p w:rsidR="00311AB3"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761D87">
        <w:rPr>
          <w:spacing w:val="-3"/>
        </w:rPr>
        <w:t xml:space="preserve">Postal Code: </w:t>
      </w:r>
      <w:r w:rsidRPr="00311AB3">
        <w:rPr>
          <w:spacing w:val="-3"/>
          <w:u w:val="single"/>
        </w:rPr>
        <w:t>21022</w:t>
      </w:r>
    </w:p>
    <w:p w:rsidR="00311AB3" w:rsidRPr="00761D87"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rPr>
          <w:spacing w:val="-3"/>
        </w:rPr>
      </w:pPr>
      <w:r w:rsidRPr="00AD4E9A">
        <w:t xml:space="preserve">Country: </w:t>
      </w:r>
      <w:r w:rsidRPr="00AD4E9A">
        <w:rPr>
          <w:u w:val="single"/>
        </w:rPr>
        <w:t>Ukraine</w:t>
      </w:r>
    </w:p>
    <w:p w:rsidR="00311AB3" w:rsidRPr="00624C38" w:rsidRDefault="00311AB3" w:rsidP="00311AB3">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pPr>
    </w:p>
    <w:p w:rsidR="00624C38" w:rsidRPr="00624C38" w:rsidRDefault="00624C38" w:rsidP="00624C3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Pr>
          <w:b/>
        </w:rPr>
        <w:t xml:space="preserve">Banking details </w:t>
      </w:r>
      <w:r w:rsidRPr="00624C38">
        <w:rPr>
          <w:b/>
        </w:rPr>
        <w:t>for payments in UAH:</w:t>
      </w: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5"/>
        <w:gridCol w:w="5237"/>
      </w:tblGrid>
      <w:tr w:rsidR="00E974B0" w:rsidRPr="00E974B0" w:rsidTr="006039D7">
        <w:trPr>
          <w:tblCellSpacing w:w="0" w:type="dxa"/>
        </w:trPr>
        <w:tc>
          <w:tcPr>
            <w:tcW w:w="383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rFonts w:ascii="Arial" w:hAnsi="Arial" w:cs="Arial"/>
                <w:b/>
                <w:bCs/>
                <w:color w:val="454545"/>
                <w:sz w:val="21"/>
                <w:szCs w:val="21"/>
                <w:lang w:val="uk-UA" w:eastAsia="uk-UA"/>
              </w:rPr>
              <w:t> </w:t>
            </w:r>
            <w:r w:rsidRPr="00E974B0">
              <w:rPr>
                <w:szCs w:val="24"/>
                <w:lang w:val="uk-UA" w:eastAsia="uk-UA"/>
              </w:rPr>
              <w:t>BENEFICIARY </w:t>
            </w:r>
          </w:p>
        </w:tc>
        <w:tc>
          <w:tcPr>
            <w:tcW w:w="5237" w:type="dxa"/>
            <w:tcMar>
              <w:top w:w="150" w:type="dxa"/>
              <w:left w:w="150" w:type="dxa"/>
              <w:bottom w:w="150" w:type="dxa"/>
              <w:right w:w="150" w:type="dxa"/>
            </w:tcMar>
            <w:hideMark/>
          </w:tcPr>
          <w:p w:rsidR="00E974B0" w:rsidRPr="00E974B0" w:rsidRDefault="00E974B0" w:rsidP="00E974B0">
            <w:pPr>
              <w:jc w:val="left"/>
              <w:rPr>
                <w:szCs w:val="24"/>
                <w:lang w:val="uk-UA" w:eastAsia="uk-UA"/>
              </w:rPr>
            </w:pPr>
            <w:proofErr w:type="spellStart"/>
            <w:r w:rsidRPr="00E974B0">
              <w:rPr>
                <w:szCs w:val="24"/>
                <w:lang w:val="uk-UA" w:eastAsia="uk-UA"/>
              </w:rPr>
              <w:t>Utility</w:t>
            </w:r>
            <w:proofErr w:type="spellEnd"/>
            <w:r w:rsidRPr="00E974B0">
              <w:rPr>
                <w:szCs w:val="24"/>
                <w:lang w:val="uk-UA" w:eastAsia="uk-UA"/>
              </w:rPr>
              <w:t xml:space="preserve"> </w:t>
            </w:r>
            <w:proofErr w:type="spellStart"/>
            <w:r w:rsidRPr="00E974B0">
              <w:rPr>
                <w:szCs w:val="24"/>
                <w:lang w:val="uk-UA" w:eastAsia="uk-UA"/>
              </w:rPr>
              <w:t>Company</w:t>
            </w:r>
            <w:proofErr w:type="spellEnd"/>
            <w:r w:rsidRPr="00E974B0">
              <w:rPr>
                <w:szCs w:val="24"/>
                <w:lang w:val="uk-UA" w:eastAsia="uk-UA"/>
              </w:rPr>
              <w:t xml:space="preserve"> “</w:t>
            </w:r>
            <w:proofErr w:type="spellStart"/>
            <w:r w:rsidRPr="00E974B0">
              <w:rPr>
                <w:szCs w:val="24"/>
                <w:lang w:val="uk-UA" w:eastAsia="uk-UA"/>
              </w:rPr>
              <w:t>Vinnytsiaoblvodokanal</w:t>
            </w:r>
            <w:proofErr w:type="spellEnd"/>
            <w:r w:rsidRPr="00E974B0">
              <w:rPr>
                <w:szCs w:val="24"/>
                <w:lang w:val="uk-UA" w:eastAsia="uk-UA"/>
              </w:rPr>
              <w:t>” </w:t>
            </w:r>
          </w:p>
        </w:tc>
      </w:tr>
      <w:tr w:rsidR="00E974B0" w:rsidRPr="00E974B0" w:rsidTr="006039D7">
        <w:trPr>
          <w:tblCellSpacing w:w="0" w:type="dxa"/>
        </w:trPr>
        <w:tc>
          <w:tcPr>
            <w:tcW w:w="383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BENEFICIARY ACCOUNT </w:t>
            </w:r>
          </w:p>
        </w:tc>
        <w:tc>
          <w:tcPr>
            <w:tcW w:w="5237"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26001215958</w:t>
            </w:r>
            <w:r w:rsidR="00E30E31">
              <w:rPr>
                <w:szCs w:val="24"/>
                <w:lang w:val="uk-UA" w:eastAsia="uk-UA"/>
              </w:rPr>
              <w:t>.980</w:t>
            </w:r>
            <w:r w:rsidRPr="00E974B0">
              <w:rPr>
                <w:szCs w:val="24"/>
                <w:lang w:val="uk-UA" w:eastAsia="uk-UA"/>
              </w:rPr>
              <w:t> </w:t>
            </w:r>
          </w:p>
        </w:tc>
      </w:tr>
      <w:tr w:rsidR="00E974B0" w:rsidRPr="00E974B0" w:rsidTr="006039D7">
        <w:trPr>
          <w:tblCellSpacing w:w="0" w:type="dxa"/>
        </w:trPr>
        <w:tc>
          <w:tcPr>
            <w:tcW w:w="383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BENEFICIARY BANK </w:t>
            </w:r>
          </w:p>
        </w:tc>
        <w:tc>
          <w:tcPr>
            <w:tcW w:w="5237"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JSB “UKRGASBANK”, </w:t>
            </w:r>
            <w:r w:rsidRPr="00E974B0">
              <w:rPr>
                <w:szCs w:val="24"/>
                <w:lang w:val="uk-UA" w:eastAsia="uk-UA"/>
              </w:rPr>
              <w:br/>
            </w:r>
            <w:proofErr w:type="spellStart"/>
            <w:r w:rsidRPr="00E974B0">
              <w:rPr>
                <w:szCs w:val="24"/>
                <w:lang w:val="uk-UA" w:eastAsia="uk-UA"/>
              </w:rPr>
              <w:t>Vinnytsia</w:t>
            </w:r>
            <w:proofErr w:type="spellEnd"/>
            <w:r w:rsidRPr="00E974B0">
              <w:rPr>
                <w:szCs w:val="24"/>
                <w:lang w:val="uk-UA" w:eastAsia="uk-UA"/>
              </w:rPr>
              <w:t>,  </w:t>
            </w:r>
            <w:proofErr w:type="spellStart"/>
            <w:r w:rsidRPr="00E974B0">
              <w:rPr>
                <w:szCs w:val="24"/>
                <w:lang w:val="uk-UA" w:eastAsia="uk-UA"/>
              </w:rPr>
              <w:t>Bevsa</w:t>
            </w:r>
            <w:proofErr w:type="spellEnd"/>
            <w:r w:rsidRPr="00E974B0">
              <w:rPr>
                <w:szCs w:val="24"/>
                <w:lang w:val="uk-UA" w:eastAsia="uk-UA"/>
              </w:rPr>
              <w:t xml:space="preserve"> </w:t>
            </w:r>
            <w:proofErr w:type="spellStart"/>
            <w:r w:rsidRPr="00E974B0">
              <w:rPr>
                <w:szCs w:val="24"/>
                <w:lang w:val="uk-UA" w:eastAsia="uk-UA"/>
              </w:rPr>
              <w:t>str</w:t>
            </w:r>
            <w:proofErr w:type="spellEnd"/>
            <w:r w:rsidRPr="00E974B0">
              <w:rPr>
                <w:szCs w:val="24"/>
                <w:lang w:val="uk-UA" w:eastAsia="uk-UA"/>
              </w:rPr>
              <w:t>. 34 </w:t>
            </w:r>
            <w:r w:rsidRPr="00E974B0">
              <w:rPr>
                <w:szCs w:val="24"/>
                <w:lang w:val="uk-UA" w:eastAsia="uk-UA"/>
              </w:rPr>
              <w:br/>
              <w:t>MFO 320478 </w:t>
            </w:r>
          </w:p>
        </w:tc>
      </w:tr>
    </w:tbl>
    <w:p w:rsidR="00437F7C" w:rsidRPr="00E974B0" w:rsidRDefault="00437F7C" w:rsidP="00E974B0">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highlight w:val="yellow"/>
          <w:lang w:val="uk-UA"/>
        </w:rPr>
      </w:pPr>
    </w:p>
    <w:p w:rsidR="00E974B0" w:rsidRPr="00E974B0" w:rsidRDefault="00E974B0" w:rsidP="00E974B0">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highlight w:val="yellow"/>
          <w:lang w:val="uk-UA"/>
        </w:rPr>
      </w:pPr>
      <w:r>
        <w:rPr>
          <w:b/>
        </w:rPr>
        <w:t xml:space="preserve">Banking details </w:t>
      </w:r>
      <w:r w:rsidRPr="00624C38">
        <w:rPr>
          <w:b/>
        </w:rPr>
        <w:t>for payments in and USD</w:t>
      </w:r>
      <w:r>
        <w:rPr>
          <w:b/>
          <w:lang w:val="uk-UA"/>
        </w:rPr>
        <w:t>:</w:t>
      </w:r>
    </w:p>
    <w:p w:rsidR="00311AB3" w:rsidRDefault="00311AB3" w:rsidP="00624C38">
      <w:pPr>
        <w:pStyle w:val="BankNormal"/>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08"/>
      </w:pP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5"/>
        <w:gridCol w:w="5217"/>
      </w:tblGrid>
      <w:tr w:rsidR="00E974B0" w:rsidRPr="00E974B0" w:rsidTr="00E974B0">
        <w:trPr>
          <w:tblCellSpacing w:w="0" w:type="dxa"/>
        </w:trPr>
        <w:tc>
          <w:tcPr>
            <w:tcW w:w="3960"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BENEFICIARY </w:t>
            </w:r>
          </w:p>
        </w:tc>
        <w:tc>
          <w:tcPr>
            <w:tcW w:w="5385" w:type="dxa"/>
            <w:tcMar>
              <w:top w:w="150" w:type="dxa"/>
              <w:left w:w="150" w:type="dxa"/>
              <w:bottom w:w="150" w:type="dxa"/>
              <w:right w:w="150" w:type="dxa"/>
            </w:tcMar>
            <w:hideMark/>
          </w:tcPr>
          <w:p w:rsidR="00E974B0" w:rsidRPr="00E974B0" w:rsidRDefault="00E974B0" w:rsidP="00E974B0">
            <w:pPr>
              <w:jc w:val="left"/>
              <w:rPr>
                <w:szCs w:val="24"/>
                <w:lang w:val="uk-UA" w:eastAsia="uk-UA"/>
              </w:rPr>
            </w:pPr>
            <w:proofErr w:type="spellStart"/>
            <w:r w:rsidRPr="00E974B0">
              <w:rPr>
                <w:szCs w:val="24"/>
                <w:lang w:val="uk-UA" w:eastAsia="uk-UA"/>
              </w:rPr>
              <w:t>Utility</w:t>
            </w:r>
            <w:proofErr w:type="spellEnd"/>
            <w:r w:rsidRPr="00E974B0">
              <w:rPr>
                <w:szCs w:val="24"/>
                <w:lang w:val="uk-UA" w:eastAsia="uk-UA"/>
              </w:rPr>
              <w:t xml:space="preserve"> </w:t>
            </w:r>
            <w:proofErr w:type="spellStart"/>
            <w:r w:rsidRPr="00E974B0">
              <w:rPr>
                <w:szCs w:val="24"/>
                <w:lang w:val="uk-UA" w:eastAsia="uk-UA"/>
              </w:rPr>
              <w:t>Company</w:t>
            </w:r>
            <w:proofErr w:type="spellEnd"/>
            <w:r w:rsidRPr="00E974B0">
              <w:rPr>
                <w:szCs w:val="24"/>
                <w:lang w:val="uk-UA" w:eastAsia="uk-UA"/>
              </w:rPr>
              <w:t xml:space="preserve"> “</w:t>
            </w:r>
            <w:proofErr w:type="spellStart"/>
            <w:r w:rsidRPr="00E974B0">
              <w:rPr>
                <w:szCs w:val="24"/>
                <w:lang w:val="uk-UA" w:eastAsia="uk-UA"/>
              </w:rPr>
              <w:t>Vinnytsiaoblvodokanal</w:t>
            </w:r>
            <w:proofErr w:type="spellEnd"/>
            <w:r w:rsidRPr="00E974B0">
              <w:rPr>
                <w:szCs w:val="24"/>
                <w:lang w:val="uk-UA" w:eastAsia="uk-UA"/>
              </w:rPr>
              <w:t>” </w:t>
            </w:r>
          </w:p>
        </w:tc>
      </w:tr>
      <w:tr w:rsidR="00E974B0" w:rsidRPr="00E974B0" w:rsidTr="00E974B0">
        <w:trPr>
          <w:tblCellSpacing w:w="0" w:type="dxa"/>
        </w:trPr>
        <w:tc>
          <w:tcPr>
            <w:tcW w:w="3960"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BENEFICIARY ACCOUNT </w:t>
            </w:r>
          </w:p>
        </w:tc>
        <w:tc>
          <w:tcPr>
            <w:tcW w:w="538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26001215958</w:t>
            </w:r>
            <w:r w:rsidR="00E30E31">
              <w:rPr>
                <w:szCs w:val="24"/>
                <w:lang w:val="uk-UA" w:eastAsia="uk-UA"/>
              </w:rPr>
              <w:t>.840</w:t>
            </w:r>
            <w:r w:rsidRPr="00E974B0">
              <w:rPr>
                <w:szCs w:val="24"/>
                <w:lang w:val="uk-UA" w:eastAsia="uk-UA"/>
              </w:rPr>
              <w:t> </w:t>
            </w:r>
          </w:p>
        </w:tc>
      </w:tr>
      <w:tr w:rsidR="00E974B0" w:rsidRPr="00E974B0" w:rsidTr="00E974B0">
        <w:trPr>
          <w:tblCellSpacing w:w="0" w:type="dxa"/>
        </w:trPr>
        <w:tc>
          <w:tcPr>
            <w:tcW w:w="3960"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BENEFICIARY BANK </w:t>
            </w:r>
          </w:p>
        </w:tc>
        <w:tc>
          <w:tcPr>
            <w:tcW w:w="538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JSB “UKRGASBANK”, UKRAINE SWIFT: UGASUAUK </w:t>
            </w:r>
          </w:p>
        </w:tc>
      </w:tr>
      <w:tr w:rsidR="00E974B0" w:rsidRPr="00E974B0" w:rsidTr="00E974B0">
        <w:trPr>
          <w:tblCellSpacing w:w="0" w:type="dxa"/>
        </w:trPr>
        <w:tc>
          <w:tcPr>
            <w:tcW w:w="3960"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CORRESPONDENT BANK </w:t>
            </w:r>
          </w:p>
        </w:tc>
        <w:tc>
          <w:tcPr>
            <w:tcW w:w="538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 xml:space="preserve">J.P. </w:t>
            </w:r>
            <w:proofErr w:type="spellStart"/>
            <w:r w:rsidRPr="00E974B0">
              <w:rPr>
                <w:szCs w:val="24"/>
                <w:lang w:val="uk-UA" w:eastAsia="uk-UA"/>
              </w:rPr>
              <w:t>Morgan</w:t>
            </w:r>
            <w:proofErr w:type="spellEnd"/>
            <w:r w:rsidRPr="00E974B0">
              <w:rPr>
                <w:szCs w:val="24"/>
                <w:lang w:val="uk-UA" w:eastAsia="uk-UA"/>
              </w:rPr>
              <w:t xml:space="preserve"> </w:t>
            </w:r>
            <w:proofErr w:type="spellStart"/>
            <w:r w:rsidRPr="00E974B0">
              <w:rPr>
                <w:szCs w:val="24"/>
                <w:lang w:val="uk-UA" w:eastAsia="uk-UA"/>
              </w:rPr>
              <w:t>Chase</w:t>
            </w:r>
            <w:proofErr w:type="spellEnd"/>
            <w:r w:rsidRPr="00E974B0">
              <w:rPr>
                <w:szCs w:val="24"/>
                <w:lang w:val="uk-UA" w:eastAsia="uk-UA"/>
              </w:rPr>
              <w:t xml:space="preserve"> </w:t>
            </w:r>
            <w:proofErr w:type="spellStart"/>
            <w:r w:rsidRPr="00E974B0">
              <w:rPr>
                <w:szCs w:val="24"/>
                <w:lang w:val="uk-UA" w:eastAsia="uk-UA"/>
              </w:rPr>
              <w:t>Bank</w:t>
            </w:r>
            <w:proofErr w:type="spellEnd"/>
            <w:r w:rsidRPr="00E974B0">
              <w:rPr>
                <w:szCs w:val="24"/>
                <w:lang w:val="uk-UA" w:eastAsia="uk-UA"/>
              </w:rPr>
              <w:t xml:space="preserve">, </w:t>
            </w:r>
            <w:proofErr w:type="spellStart"/>
            <w:r w:rsidRPr="00E974B0">
              <w:rPr>
                <w:szCs w:val="24"/>
                <w:lang w:val="uk-UA" w:eastAsia="uk-UA"/>
              </w:rPr>
              <w:t>New</w:t>
            </w:r>
            <w:proofErr w:type="spellEnd"/>
            <w:r w:rsidRPr="00E974B0">
              <w:rPr>
                <w:szCs w:val="24"/>
                <w:lang w:val="uk-UA" w:eastAsia="uk-UA"/>
              </w:rPr>
              <w:t xml:space="preserve"> </w:t>
            </w:r>
            <w:proofErr w:type="spellStart"/>
            <w:r w:rsidRPr="00E974B0">
              <w:rPr>
                <w:szCs w:val="24"/>
                <w:lang w:val="uk-UA" w:eastAsia="uk-UA"/>
              </w:rPr>
              <w:t>York</w:t>
            </w:r>
            <w:proofErr w:type="spellEnd"/>
            <w:r w:rsidRPr="00E974B0">
              <w:rPr>
                <w:szCs w:val="24"/>
                <w:lang w:val="uk-UA" w:eastAsia="uk-UA"/>
              </w:rPr>
              <w:t xml:space="preserve"> 70 </w:t>
            </w:r>
            <w:proofErr w:type="spellStart"/>
            <w:r w:rsidRPr="00E974B0">
              <w:rPr>
                <w:szCs w:val="24"/>
                <w:lang w:val="uk-UA" w:eastAsia="uk-UA"/>
              </w:rPr>
              <w:t>Park</w:t>
            </w:r>
            <w:proofErr w:type="spellEnd"/>
            <w:r w:rsidRPr="00E974B0">
              <w:rPr>
                <w:szCs w:val="24"/>
                <w:lang w:val="uk-UA" w:eastAsia="uk-UA"/>
              </w:rPr>
              <w:t xml:space="preserve"> </w:t>
            </w:r>
            <w:proofErr w:type="spellStart"/>
            <w:r w:rsidRPr="00E974B0">
              <w:rPr>
                <w:szCs w:val="24"/>
                <w:lang w:val="uk-UA" w:eastAsia="uk-UA"/>
              </w:rPr>
              <w:t>Avenue</w:t>
            </w:r>
            <w:proofErr w:type="spellEnd"/>
            <w:r w:rsidRPr="00E974B0">
              <w:rPr>
                <w:szCs w:val="24"/>
                <w:lang w:val="uk-UA" w:eastAsia="uk-UA"/>
              </w:rPr>
              <w:t xml:space="preserve">, </w:t>
            </w:r>
            <w:proofErr w:type="spellStart"/>
            <w:r w:rsidRPr="00E974B0">
              <w:rPr>
                <w:szCs w:val="24"/>
                <w:lang w:val="uk-UA" w:eastAsia="uk-UA"/>
              </w:rPr>
              <w:t>New</w:t>
            </w:r>
            <w:proofErr w:type="spellEnd"/>
            <w:r w:rsidRPr="00E974B0">
              <w:rPr>
                <w:szCs w:val="24"/>
                <w:lang w:val="uk-UA" w:eastAsia="uk-UA"/>
              </w:rPr>
              <w:t xml:space="preserve"> </w:t>
            </w:r>
            <w:proofErr w:type="spellStart"/>
            <w:r w:rsidRPr="00E974B0">
              <w:rPr>
                <w:szCs w:val="24"/>
                <w:lang w:val="uk-UA" w:eastAsia="uk-UA"/>
              </w:rPr>
              <w:t>York</w:t>
            </w:r>
            <w:proofErr w:type="spellEnd"/>
            <w:r w:rsidRPr="00E974B0">
              <w:rPr>
                <w:szCs w:val="24"/>
                <w:lang w:val="uk-UA" w:eastAsia="uk-UA"/>
              </w:rPr>
              <w:t xml:space="preserve">, NY, 10017 USA, </w:t>
            </w:r>
            <w:proofErr w:type="spellStart"/>
            <w:r w:rsidRPr="00E974B0">
              <w:rPr>
                <w:szCs w:val="24"/>
                <w:lang w:val="uk-UA" w:eastAsia="uk-UA"/>
              </w:rPr>
              <w:t>New</w:t>
            </w:r>
            <w:proofErr w:type="spellEnd"/>
            <w:r w:rsidRPr="00E974B0">
              <w:rPr>
                <w:szCs w:val="24"/>
                <w:lang w:val="uk-UA" w:eastAsia="uk-UA"/>
              </w:rPr>
              <w:t xml:space="preserve"> </w:t>
            </w:r>
            <w:proofErr w:type="spellStart"/>
            <w:r w:rsidRPr="00E974B0">
              <w:rPr>
                <w:szCs w:val="24"/>
                <w:lang w:val="uk-UA" w:eastAsia="uk-UA"/>
              </w:rPr>
              <w:t>York</w:t>
            </w:r>
            <w:proofErr w:type="spellEnd"/>
            <w:r w:rsidRPr="00E974B0">
              <w:rPr>
                <w:szCs w:val="24"/>
                <w:lang w:val="uk-UA" w:eastAsia="uk-UA"/>
              </w:rPr>
              <w:t xml:space="preserve"> SWIFT: CHASUS33 </w:t>
            </w:r>
          </w:p>
        </w:tc>
      </w:tr>
      <w:tr w:rsidR="00E974B0" w:rsidRPr="00E974B0" w:rsidTr="00E974B0">
        <w:trPr>
          <w:tblCellSpacing w:w="0" w:type="dxa"/>
        </w:trPr>
        <w:tc>
          <w:tcPr>
            <w:tcW w:w="3960"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lastRenderedPageBreak/>
              <w:t>CORR. ACCOUNT </w:t>
            </w:r>
          </w:p>
        </w:tc>
        <w:tc>
          <w:tcPr>
            <w:tcW w:w="5385" w:type="dxa"/>
            <w:tcMar>
              <w:top w:w="150" w:type="dxa"/>
              <w:left w:w="150" w:type="dxa"/>
              <w:bottom w:w="150" w:type="dxa"/>
              <w:right w:w="150" w:type="dxa"/>
            </w:tcMar>
            <w:hideMark/>
          </w:tcPr>
          <w:p w:rsidR="00E974B0" w:rsidRPr="00E974B0" w:rsidRDefault="00E974B0" w:rsidP="00E974B0">
            <w:pPr>
              <w:jc w:val="left"/>
              <w:rPr>
                <w:szCs w:val="24"/>
                <w:lang w:val="uk-UA" w:eastAsia="uk-UA"/>
              </w:rPr>
            </w:pPr>
            <w:r w:rsidRPr="00E974B0">
              <w:rPr>
                <w:szCs w:val="24"/>
                <w:lang w:val="uk-UA" w:eastAsia="uk-UA"/>
              </w:rPr>
              <w:t>899579957 </w:t>
            </w:r>
          </w:p>
        </w:tc>
      </w:tr>
    </w:tbl>
    <w:p w:rsidR="00C576EF" w:rsidRDefault="00C576EF" w:rsidP="00FA54E8">
      <w:pPr>
        <w:pStyle w:val="5"/>
        <w:jc w:val="both"/>
      </w:pPr>
    </w:p>
    <w:sectPr w:rsidR="00C576EF" w:rsidSect="006039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D6" w:rsidRDefault="00CF2AD6" w:rsidP="00FA54E8">
      <w:r>
        <w:separator/>
      </w:r>
    </w:p>
  </w:endnote>
  <w:endnote w:type="continuationSeparator" w:id="0">
    <w:p w:rsidR="00CF2AD6" w:rsidRDefault="00CF2AD6" w:rsidP="00FA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D6" w:rsidRDefault="00CF2AD6" w:rsidP="00FA54E8">
      <w:r>
        <w:separator/>
      </w:r>
    </w:p>
  </w:footnote>
  <w:footnote w:type="continuationSeparator" w:id="0">
    <w:p w:rsidR="00CF2AD6" w:rsidRDefault="00CF2AD6" w:rsidP="00FA5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A4C"/>
    <w:multiLevelType w:val="hybridMultilevel"/>
    <w:tmpl w:val="3DB46D0A"/>
    <w:lvl w:ilvl="0" w:tplc="FFFFFFFF">
      <w:start w:val="1"/>
      <w:numFmt w:val="lowerRoman"/>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 w15:restartNumberingAfterBreak="0">
    <w:nsid w:val="37E349D3"/>
    <w:multiLevelType w:val="hybridMultilevel"/>
    <w:tmpl w:val="B630E0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F6E0F"/>
    <w:multiLevelType w:val="hybridMultilevel"/>
    <w:tmpl w:val="C11CE4FC"/>
    <w:lvl w:ilvl="0" w:tplc="04220017">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AB204E3"/>
    <w:multiLevelType w:val="hybridMultilevel"/>
    <w:tmpl w:val="91387B64"/>
    <w:lvl w:ilvl="0" w:tplc="CE761C88">
      <w:start w:val="1"/>
      <w:numFmt w:val="lowerLetter"/>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293489C"/>
    <w:multiLevelType w:val="hybridMultilevel"/>
    <w:tmpl w:val="E4983984"/>
    <w:lvl w:ilvl="0" w:tplc="CE761C88">
      <w:start w:val="1"/>
      <w:numFmt w:val="lowerLetter"/>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B1056E0"/>
    <w:multiLevelType w:val="hybridMultilevel"/>
    <w:tmpl w:val="3DB46D0A"/>
    <w:lvl w:ilvl="0" w:tplc="FFFFFFFF">
      <w:start w:val="1"/>
      <w:numFmt w:val="lowerRoman"/>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6" w15:restartNumberingAfterBreak="0">
    <w:nsid w:val="7FF126E9"/>
    <w:multiLevelType w:val="hybridMultilevel"/>
    <w:tmpl w:val="3DB46D0A"/>
    <w:lvl w:ilvl="0" w:tplc="FFFFFFFF">
      <w:start w:val="1"/>
      <w:numFmt w:val="lowerRoman"/>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E8"/>
    <w:rsid w:val="00047BDA"/>
    <w:rsid w:val="0005436F"/>
    <w:rsid w:val="000820A5"/>
    <w:rsid w:val="00090E32"/>
    <w:rsid w:val="000A508E"/>
    <w:rsid w:val="000B49BE"/>
    <w:rsid w:val="00127FEE"/>
    <w:rsid w:val="0014158E"/>
    <w:rsid w:val="001913DC"/>
    <w:rsid w:val="0019429A"/>
    <w:rsid w:val="00214C3E"/>
    <w:rsid w:val="0022094C"/>
    <w:rsid w:val="00262285"/>
    <w:rsid w:val="00296971"/>
    <w:rsid w:val="002A6B55"/>
    <w:rsid w:val="002C1D4B"/>
    <w:rsid w:val="002C5E72"/>
    <w:rsid w:val="002D733B"/>
    <w:rsid w:val="002E0659"/>
    <w:rsid w:val="00311AB3"/>
    <w:rsid w:val="003353C2"/>
    <w:rsid w:val="0035073E"/>
    <w:rsid w:val="00371D1E"/>
    <w:rsid w:val="0037737F"/>
    <w:rsid w:val="00382456"/>
    <w:rsid w:val="003A74DD"/>
    <w:rsid w:val="003F41CA"/>
    <w:rsid w:val="004000AB"/>
    <w:rsid w:val="004013C1"/>
    <w:rsid w:val="004324BC"/>
    <w:rsid w:val="00437F7C"/>
    <w:rsid w:val="0045266F"/>
    <w:rsid w:val="00455CBF"/>
    <w:rsid w:val="004604A0"/>
    <w:rsid w:val="00465CB2"/>
    <w:rsid w:val="0048780E"/>
    <w:rsid w:val="004909DA"/>
    <w:rsid w:val="00493623"/>
    <w:rsid w:val="004A0F68"/>
    <w:rsid w:val="004B1A86"/>
    <w:rsid w:val="004C6DAE"/>
    <w:rsid w:val="004D56A7"/>
    <w:rsid w:val="004D7BA5"/>
    <w:rsid w:val="004F1C20"/>
    <w:rsid w:val="00500F48"/>
    <w:rsid w:val="00524DB0"/>
    <w:rsid w:val="0055736E"/>
    <w:rsid w:val="005951AB"/>
    <w:rsid w:val="005D33B5"/>
    <w:rsid w:val="005E4C34"/>
    <w:rsid w:val="00603930"/>
    <w:rsid w:val="006039D7"/>
    <w:rsid w:val="00621408"/>
    <w:rsid w:val="00624C38"/>
    <w:rsid w:val="006624C5"/>
    <w:rsid w:val="006B785B"/>
    <w:rsid w:val="006C4EFC"/>
    <w:rsid w:val="006D39B2"/>
    <w:rsid w:val="006D64CE"/>
    <w:rsid w:val="007477DF"/>
    <w:rsid w:val="00761D87"/>
    <w:rsid w:val="00761DA2"/>
    <w:rsid w:val="0076214B"/>
    <w:rsid w:val="007746C3"/>
    <w:rsid w:val="00793637"/>
    <w:rsid w:val="007A3594"/>
    <w:rsid w:val="007C7A13"/>
    <w:rsid w:val="007D1FB1"/>
    <w:rsid w:val="007E0164"/>
    <w:rsid w:val="0080068A"/>
    <w:rsid w:val="008832C3"/>
    <w:rsid w:val="00886E7D"/>
    <w:rsid w:val="008A5637"/>
    <w:rsid w:val="008C021B"/>
    <w:rsid w:val="00900D3C"/>
    <w:rsid w:val="00921AB8"/>
    <w:rsid w:val="009419DF"/>
    <w:rsid w:val="00951F9E"/>
    <w:rsid w:val="009530F8"/>
    <w:rsid w:val="00974468"/>
    <w:rsid w:val="009931CB"/>
    <w:rsid w:val="009B03B0"/>
    <w:rsid w:val="00A213C3"/>
    <w:rsid w:val="00A4483B"/>
    <w:rsid w:val="00AA6B0D"/>
    <w:rsid w:val="00B12C8B"/>
    <w:rsid w:val="00B52387"/>
    <w:rsid w:val="00B54725"/>
    <w:rsid w:val="00B64F2F"/>
    <w:rsid w:val="00B7349A"/>
    <w:rsid w:val="00BC6D68"/>
    <w:rsid w:val="00BE24CC"/>
    <w:rsid w:val="00BE4CC1"/>
    <w:rsid w:val="00BF5A5C"/>
    <w:rsid w:val="00C015AC"/>
    <w:rsid w:val="00C1724E"/>
    <w:rsid w:val="00C31B7D"/>
    <w:rsid w:val="00C47833"/>
    <w:rsid w:val="00C576EF"/>
    <w:rsid w:val="00C66CAD"/>
    <w:rsid w:val="00C851A2"/>
    <w:rsid w:val="00CA7977"/>
    <w:rsid w:val="00CB69EF"/>
    <w:rsid w:val="00CD0185"/>
    <w:rsid w:val="00CD1DEF"/>
    <w:rsid w:val="00CF2AD6"/>
    <w:rsid w:val="00D07F01"/>
    <w:rsid w:val="00D27A02"/>
    <w:rsid w:val="00D40BDF"/>
    <w:rsid w:val="00D45EB5"/>
    <w:rsid w:val="00D94799"/>
    <w:rsid w:val="00DD0EE1"/>
    <w:rsid w:val="00DF4E93"/>
    <w:rsid w:val="00E30E31"/>
    <w:rsid w:val="00E3137A"/>
    <w:rsid w:val="00E53D66"/>
    <w:rsid w:val="00E74F1F"/>
    <w:rsid w:val="00E80993"/>
    <w:rsid w:val="00E83903"/>
    <w:rsid w:val="00E974B0"/>
    <w:rsid w:val="00EA49A9"/>
    <w:rsid w:val="00F20C4D"/>
    <w:rsid w:val="00F210F1"/>
    <w:rsid w:val="00F61EE2"/>
    <w:rsid w:val="00F82EDE"/>
    <w:rsid w:val="00FA54E8"/>
    <w:rsid w:val="00FB127F"/>
    <w:rsid w:val="00FB48FB"/>
    <w:rsid w:val="00FD2A5E"/>
    <w:rsid w:val="00FF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0FF2F75-B8B7-4502-B40E-75A23C6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54E8"/>
    <w:pPr>
      <w:spacing w:after="0" w:line="240" w:lineRule="auto"/>
      <w:jc w:val="both"/>
    </w:pPr>
    <w:rPr>
      <w:rFonts w:ascii="Times New Roman" w:eastAsia="Times New Roman" w:hAnsi="Times New Roman" w:cs="Times New Roman"/>
      <w:sz w:val="24"/>
      <w:szCs w:val="20"/>
      <w:lang w:val="en-US"/>
    </w:rPr>
  </w:style>
  <w:style w:type="paragraph" w:styleId="1">
    <w:name w:val="heading 1"/>
    <w:basedOn w:val="a"/>
    <w:next w:val="a"/>
    <w:link w:val="10"/>
    <w:uiPriority w:val="9"/>
    <w:qFormat/>
    <w:rsid w:val="00FA5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Title Header2"/>
    <w:basedOn w:val="a"/>
    <w:next w:val="a"/>
    <w:link w:val="20"/>
    <w:qFormat/>
    <w:rsid w:val="00FA54E8"/>
    <w:pPr>
      <w:tabs>
        <w:tab w:val="left" w:pos="619"/>
      </w:tabs>
      <w:spacing w:after="200"/>
      <w:jc w:val="center"/>
      <w:outlineLvl w:val="1"/>
    </w:pPr>
    <w:rPr>
      <w:rFonts w:ascii="Times New Roman Bold" w:hAnsi="Times New Roman Bold"/>
      <w:b/>
      <w:sz w:val="36"/>
    </w:rPr>
  </w:style>
  <w:style w:type="paragraph" w:styleId="5">
    <w:name w:val="heading 5"/>
    <w:basedOn w:val="a"/>
    <w:next w:val="a"/>
    <w:link w:val="50"/>
    <w:autoRedefine/>
    <w:qFormat/>
    <w:rsid w:val="00FA54E8"/>
    <w:pPr>
      <w:spacing w:before="240" w:after="6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Title Header2 Знак"/>
    <w:basedOn w:val="a0"/>
    <w:link w:val="2"/>
    <w:rsid w:val="00FA54E8"/>
    <w:rPr>
      <w:rFonts w:ascii="Times New Roman Bold" w:eastAsia="Times New Roman" w:hAnsi="Times New Roman Bold" w:cs="Times New Roman"/>
      <w:b/>
      <w:sz w:val="36"/>
      <w:szCs w:val="20"/>
      <w:lang w:val="en-US"/>
    </w:rPr>
  </w:style>
  <w:style w:type="character" w:customStyle="1" w:styleId="50">
    <w:name w:val="Заголовок 5 Знак"/>
    <w:basedOn w:val="a0"/>
    <w:link w:val="5"/>
    <w:rsid w:val="00FA54E8"/>
    <w:rPr>
      <w:rFonts w:ascii="Times New Roman" w:eastAsia="Times New Roman" w:hAnsi="Times New Roman" w:cs="Times New Roman"/>
      <w:b/>
      <w:sz w:val="28"/>
      <w:szCs w:val="20"/>
      <w:lang w:val="en-US"/>
    </w:rPr>
  </w:style>
  <w:style w:type="paragraph" w:styleId="a3">
    <w:name w:val="footnote text"/>
    <w:basedOn w:val="a"/>
    <w:link w:val="a4"/>
    <w:semiHidden/>
    <w:rsid w:val="00FA54E8"/>
    <w:pPr>
      <w:ind w:left="360" w:hanging="360"/>
    </w:pPr>
    <w:rPr>
      <w:sz w:val="20"/>
    </w:rPr>
  </w:style>
  <w:style w:type="character" w:customStyle="1" w:styleId="a4">
    <w:name w:val="Текст виноски Знак"/>
    <w:basedOn w:val="a0"/>
    <w:link w:val="a3"/>
    <w:semiHidden/>
    <w:rsid w:val="00FA54E8"/>
    <w:rPr>
      <w:rFonts w:ascii="Times New Roman" w:eastAsia="Times New Roman" w:hAnsi="Times New Roman" w:cs="Times New Roman"/>
      <w:sz w:val="20"/>
      <w:szCs w:val="20"/>
      <w:lang w:val="en-US"/>
    </w:rPr>
  </w:style>
  <w:style w:type="character" w:styleId="a5">
    <w:name w:val="footnote reference"/>
    <w:semiHidden/>
    <w:rsid w:val="00FA54E8"/>
    <w:rPr>
      <w:vertAlign w:val="superscript"/>
    </w:rPr>
  </w:style>
  <w:style w:type="paragraph" w:styleId="a6">
    <w:name w:val="Body Text"/>
    <w:basedOn w:val="a"/>
    <w:link w:val="a7"/>
    <w:rsid w:val="00FA54E8"/>
  </w:style>
  <w:style w:type="character" w:customStyle="1" w:styleId="a7">
    <w:name w:val="Основний текст Знак"/>
    <w:basedOn w:val="a0"/>
    <w:link w:val="a6"/>
    <w:rsid w:val="00FA54E8"/>
    <w:rPr>
      <w:rFonts w:ascii="Times New Roman" w:eastAsia="Times New Roman" w:hAnsi="Times New Roman" w:cs="Times New Roman"/>
      <w:sz w:val="24"/>
      <w:szCs w:val="20"/>
      <w:lang w:val="en-US"/>
    </w:rPr>
  </w:style>
  <w:style w:type="paragraph" w:customStyle="1" w:styleId="BankNormal">
    <w:name w:val="BankNormal"/>
    <w:basedOn w:val="a"/>
    <w:rsid w:val="00FA54E8"/>
    <w:pPr>
      <w:spacing w:after="240"/>
      <w:jc w:val="left"/>
    </w:pPr>
  </w:style>
  <w:style w:type="paragraph" w:customStyle="1" w:styleId="explanatorynotes">
    <w:name w:val="explanatory_notes"/>
    <w:basedOn w:val="a"/>
    <w:rsid w:val="00FA54E8"/>
    <w:pPr>
      <w:suppressAutoHyphens/>
      <w:spacing w:after="240" w:line="360" w:lineRule="exact"/>
    </w:pPr>
    <w:rPr>
      <w:rFonts w:ascii="Arial" w:hAnsi="Arial"/>
    </w:rPr>
  </w:style>
  <w:style w:type="paragraph" w:customStyle="1" w:styleId="UG-Part">
    <w:name w:val="UG - Part"/>
    <w:basedOn w:val="1"/>
    <w:rsid w:val="00FA54E8"/>
    <w:pPr>
      <w:keepNext w:val="0"/>
      <w:keepLines w:val="0"/>
      <w:spacing w:before="120" w:after="120"/>
      <w:jc w:val="center"/>
    </w:pPr>
    <w:rPr>
      <w:rFonts w:ascii="Times New Roman" w:eastAsia="Times New Roman" w:hAnsi="Times New Roman" w:cs="Times New Roman"/>
      <w:b/>
      <w:bCs/>
      <w:color w:val="auto"/>
      <w:kern w:val="28"/>
      <w:sz w:val="36"/>
      <w:szCs w:val="20"/>
    </w:rPr>
  </w:style>
  <w:style w:type="character" w:customStyle="1" w:styleId="10">
    <w:name w:val="Заголовок 1 Знак"/>
    <w:basedOn w:val="a0"/>
    <w:link w:val="1"/>
    <w:uiPriority w:val="9"/>
    <w:rsid w:val="00FA54E8"/>
    <w:rPr>
      <w:rFonts w:asciiTheme="majorHAnsi" w:eastAsiaTheme="majorEastAsia" w:hAnsiTheme="majorHAnsi" w:cstheme="majorBidi"/>
      <w:color w:val="2E74B5" w:themeColor="accent1" w:themeShade="BF"/>
      <w:sz w:val="32"/>
      <w:szCs w:val="32"/>
      <w:lang w:val="en-US"/>
    </w:rPr>
  </w:style>
  <w:style w:type="paragraph" w:styleId="a8">
    <w:name w:val="List Paragraph"/>
    <w:basedOn w:val="a"/>
    <w:uiPriority w:val="34"/>
    <w:qFormat/>
    <w:rsid w:val="00E80993"/>
    <w:pPr>
      <w:ind w:left="720"/>
      <w:contextualSpacing/>
    </w:pPr>
  </w:style>
  <w:style w:type="paragraph" w:styleId="a9">
    <w:name w:val="header"/>
    <w:aliases w:val="encabezado,Encabezado 2,h,dfb"/>
    <w:basedOn w:val="a"/>
    <w:link w:val="aa"/>
    <w:uiPriority w:val="99"/>
    <w:qFormat/>
    <w:rsid w:val="00262285"/>
    <w:pPr>
      <w:pBdr>
        <w:bottom w:val="single" w:sz="4" w:space="1" w:color="000000"/>
      </w:pBdr>
      <w:tabs>
        <w:tab w:val="right" w:pos="9000"/>
      </w:tabs>
    </w:pPr>
    <w:rPr>
      <w:sz w:val="20"/>
    </w:rPr>
  </w:style>
  <w:style w:type="character" w:customStyle="1" w:styleId="aa">
    <w:name w:val="Верхній колонтитул Знак"/>
    <w:aliases w:val="encabezado Знак,Encabezado 2 Знак,h Знак,dfb Знак"/>
    <w:basedOn w:val="a0"/>
    <w:link w:val="a9"/>
    <w:uiPriority w:val="99"/>
    <w:rsid w:val="00262285"/>
    <w:rPr>
      <w:rFonts w:ascii="Times New Roman" w:eastAsia="Times New Roman" w:hAnsi="Times New Roman" w:cs="Times New Roman"/>
      <w:sz w:val="20"/>
      <w:szCs w:val="20"/>
      <w:lang w:val="en-US"/>
    </w:rPr>
  </w:style>
  <w:style w:type="paragraph" w:customStyle="1" w:styleId="TableParagraph">
    <w:name w:val="Table Paragraph"/>
    <w:basedOn w:val="a"/>
    <w:uiPriority w:val="1"/>
    <w:qFormat/>
    <w:rsid w:val="00262285"/>
    <w:pPr>
      <w:widowControl w:val="0"/>
      <w:jc w:val="left"/>
    </w:pPr>
    <w:rPr>
      <w:rFonts w:ascii="Calibri" w:eastAsia="Calibri" w:hAnsi="Calibri"/>
      <w:sz w:val="22"/>
      <w:szCs w:val="22"/>
    </w:rPr>
  </w:style>
  <w:style w:type="character" w:styleId="ab">
    <w:name w:val="Hyperlink"/>
    <w:basedOn w:val="a0"/>
    <w:uiPriority w:val="99"/>
    <w:unhideWhenUsed/>
    <w:rsid w:val="004013C1"/>
    <w:rPr>
      <w:color w:val="0563C1" w:themeColor="hyperlink"/>
      <w:u w:val="single"/>
    </w:rPr>
  </w:style>
  <w:style w:type="character" w:styleId="ac">
    <w:name w:val="Emphasis"/>
    <w:basedOn w:val="a0"/>
    <w:uiPriority w:val="20"/>
    <w:qFormat/>
    <w:rsid w:val="00761D87"/>
    <w:rPr>
      <w:i/>
      <w:iCs/>
    </w:rPr>
  </w:style>
  <w:style w:type="paragraph" w:styleId="ad">
    <w:name w:val="Balloon Text"/>
    <w:basedOn w:val="a"/>
    <w:link w:val="ae"/>
    <w:uiPriority w:val="99"/>
    <w:semiHidden/>
    <w:unhideWhenUsed/>
    <w:rsid w:val="0035073E"/>
    <w:rPr>
      <w:rFonts w:ascii="Segoe UI" w:hAnsi="Segoe UI"/>
      <w:sz w:val="18"/>
      <w:szCs w:val="18"/>
    </w:rPr>
  </w:style>
  <w:style w:type="character" w:customStyle="1" w:styleId="ae">
    <w:name w:val="Текст у виносці Знак"/>
    <w:basedOn w:val="a0"/>
    <w:link w:val="ad"/>
    <w:uiPriority w:val="99"/>
    <w:semiHidden/>
    <w:rsid w:val="0035073E"/>
    <w:rPr>
      <w:rFonts w:ascii="Segoe UI" w:eastAsia="Times New Roman" w:hAnsi="Segoe UI" w:cs="Times New Roman"/>
      <w:sz w:val="18"/>
      <w:szCs w:val="18"/>
      <w:lang w:val="en-US"/>
    </w:rPr>
  </w:style>
  <w:style w:type="paragraph" w:customStyle="1" w:styleId="Heading1a">
    <w:name w:val="Heading 1a"/>
    <w:rsid w:val="00214C3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11">
    <w:name w:val="Абзац списка1"/>
    <w:basedOn w:val="a"/>
    <w:rsid w:val="001913DC"/>
    <w:pPr>
      <w:spacing w:after="200" w:line="276" w:lineRule="auto"/>
      <w:ind w:left="720"/>
      <w:contextualSpacing/>
      <w:jc w:val="left"/>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91333">
      <w:bodyDiv w:val="1"/>
      <w:marLeft w:val="0"/>
      <w:marRight w:val="0"/>
      <w:marTop w:val="0"/>
      <w:marBottom w:val="0"/>
      <w:divBdr>
        <w:top w:val="none" w:sz="0" w:space="0" w:color="auto"/>
        <w:left w:val="none" w:sz="0" w:space="0" w:color="auto"/>
        <w:bottom w:val="none" w:sz="0" w:space="0" w:color="auto"/>
        <w:right w:val="none" w:sz="0" w:space="0" w:color="auto"/>
      </w:divBdr>
    </w:div>
    <w:div w:id="8883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phead@gmail.com" TargetMode="External"/><Relationship Id="rId3" Type="http://schemas.openxmlformats.org/officeDocument/2006/relationships/settings" Target="settings.xml"/><Relationship Id="rId7" Type="http://schemas.openxmlformats.org/officeDocument/2006/relationships/hyperlink" Target="mailto:rgup@vinvk.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iphead@gmail.com" TargetMode="External"/><Relationship Id="rId4" Type="http://schemas.openxmlformats.org/officeDocument/2006/relationships/webSettings" Target="webSettings.xml"/><Relationship Id="rId9" Type="http://schemas.openxmlformats.org/officeDocument/2006/relationships/hyperlink" Target="mailto:rgup@vinv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7249</Words>
  <Characters>4132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Рудоман</dc:creator>
  <cp:keywords/>
  <dc:description/>
  <cp:lastModifiedBy>User</cp:lastModifiedBy>
  <cp:revision>2</cp:revision>
  <cp:lastPrinted>2019-06-11T07:27:00Z</cp:lastPrinted>
  <dcterms:created xsi:type="dcterms:W3CDTF">2019-10-29T08:13:00Z</dcterms:created>
  <dcterms:modified xsi:type="dcterms:W3CDTF">2019-10-29T08:13:00Z</dcterms:modified>
</cp:coreProperties>
</file>